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7.xml" ContentType="application/vnd.openxmlformats-officedocument.drawingml.chart+xml"/>
  <Override PartName="/word/charts/style5.xml" ContentType="application/vnd.ms-office.chartstyle+xml"/>
  <Override PartName="/word/charts/colors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C542F1" w:rsidRDefault="00C542F1" w:rsidP="00C542F1">
      <w:pPr>
        <w:pStyle w:val="NoSpacing"/>
        <w:rPr>
          <w:rFonts w:ascii="Verdana" w:hAnsi="Verdana"/>
        </w:rPr>
      </w:pPr>
      <w:bookmarkStart w:id="0" w:name="_GoBack"/>
      <w:bookmarkEnd w:id="0"/>
    </w:p>
    <w:p w:rsidR="00C542F1" w:rsidRDefault="00C542F1" w:rsidP="00C542F1">
      <w:pPr>
        <w:pStyle w:val="NoSpacing"/>
        <w:rPr>
          <w:rFonts w:ascii="Verdana" w:hAnsi="Verdana"/>
        </w:rPr>
      </w:pPr>
    </w:p>
    <w:p w:rsidR="00C542F1" w:rsidRDefault="00C542F1" w:rsidP="00C542F1">
      <w:pPr>
        <w:pStyle w:val="NoSpacing"/>
        <w:jc w:val="center"/>
        <w:rPr>
          <w:rFonts w:ascii="Verdana" w:hAnsi="Verdana"/>
        </w:rPr>
      </w:pPr>
      <w:r>
        <w:rPr>
          <w:noProof/>
        </w:rPr>
        <w:drawing>
          <wp:inline distT="0" distB="0" distL="0" distR="0">
            <wp:extent cx="2494842" cy="2502569"/>
            <wp:effectExtent l="0" t="0" r="1270" b="0"/>
            <wp:docPr id="1" name="Picture 1" descr="http://www.sos.idaho.gov/stateseal/Color/Seal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s.idaho.gov/stateseal/Color/Seal_Colo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96505" cy="2504237"/>
                    </a:xfrm>
                    <a:prstGeom prst="rect">
                      <a:avLst/>
                    </a:prstGeom>
                    <a:noFill/>
                    <a:ln>
                      <a:noFill/>
                    </a:ln>
                  </pic:spPr>
                </pic:pic>
              </a:graphicData>
            </a:graphic>
          </wp:inline>
        </w:drawing>
      </w:r>
    </w:p>
    <w:p w:rsidR="00C542F1" w:rsidRDefault="00C542F1" w:rsidP="00C542F1">
      <w:pPr>
        <w:pStyle w:val="NoSpacing"/>
        <w:rPr>
          <w:rFonts w:ascii="Verdana" w:hAnsi="Verdana"/>
        </w:rPr>
      </w:pPr>
    </w:p>
    <w:p w:rsidR="00785EF2" w:rsidRDefault="00785EF2" w:rsidP="00C542F1">
      <w:pPr>
        <w:pStyle w:val="NoSpacing"/>
        <w:rPr>
          <w:rFonts w:ascii="Verdana" w:hAnsi="Verdana"/>
        </w:rPr>
      </w:pPr>
    </w:p>
    <w:p w:rsidR="00C542F1" w:rsidRDefault="00C542F1" w:rsidP="00C542F1">
      <w:pPr>
        <w:pStyle w:val="NoSpacing"/>
        <w:rPr>
          <w:rFonts w:ascii="Verdana" w:hAnsi="Verdana"/>
        </w:rPr>
      </w:pPr>
    </w:p>
    <w:p w:rsidR="00607AFC" w:rsidRPr="009D2070" w:rsidRDefault="00C542F1" w:rsidP="00C542F1">
      <w:pPr>
        <w:pStyle w:val="NoSpacing"/>
        <w:jc w:val="center"/>
        <w:rPr>
          <w:rFonts w:ascii="Verdana" w:hAnsi="Verdana"/>
          <w:b/>
          <w:sz w:val="44"/>
        </w:rPr>
      </w:pPr>
      <w:r w:rsidRPr="009D2070">
        <w:rPr>
          <w:rFonts w:ascii="Verdana" w:hAnsi="Verdana"/>
          <w:b/>
          <w:sz w:val="44"/>
        </w:rPr>
        <w:t xml:space="preserve">Industrial Special Indemnity Fund </w:t>
      </w:r>
    </w:p>
    <w:p w:rsidR="00C542F1" w:rsidRDefault="00C542F1" w:rsidP="00C542F1">
      <w:pPr>
        <w:pStyle w:val="NoSpacing"/>
        <w:jc w:val="center"/>
        <w:rPr>
          <w:rFonts w:ascii="Verdana" w:hAnsi="Verdana"/>
          <w:sz w:val="44"/>
        </w:rPr>
      </w:pPr>
      <w:r w:rsidRPr="00C542F1">
        <w:rPr>
          <w:rFonts w:ascii="Verdana" w:hAnsi="Verdana"/>
          <w:sz w:val="44"/>
        </w:rPr>
        <w:t>(ISIF)</w:t>
      </w:r>
    </w:p>
    <w:p w:rsidR="00C542F1" w:rsidRPr="00C542F1" w:rsidRDefault="00C542F1" w:rsidP="00C542F1">
      <w:pPr>
        <w:pStyle w:val="NoSpacing"/>
        <w:jc w:val="center"/>
        <w:rPr>
          <w:rFonts w:ascii="Verdana" w:hAnsi="Verdana"/>
          <w:sz w:val="44"/>
        </w:rPr>
      </w:pPr>
    </w:p>
    <w:p w:rsidR="009A1F86" w:rsidRDefault="009F241F" w:rsidP="00C542F1">
      <w:pPr>
        <w:pStyle w:val="NoSpacing"/>
        <w:jc w:val="center"/>
        <w:rPr>
          <w:rFonts w:ascii="Verdana" w:hAnsi="Verdana"/>
          <w:sz w:val="44"/>
        </w:rPr>
      </w:pPr>
      <w:r>
        <w:rPr>
          <w:rFonts w:ascii="Verdana" w:hAnsi="Verdana"/>
          <w:sz w:val="44"/>
        </w:rPr>
        <w:t>Annual</w:t>
      </w:r>
      <w:r w:rsidR="009A1F86">
        <w:rPr>
          <w:rFonts w:ascii="Verdana" w:hAnsi="Verdana"/>
          <w:sz w:val="44"/>
        </w:rPr>
        <w:t xml:space="preserve"> </w:t>
      </w:r>
      <w:r w:rsidR="005577C8">
        <w:rPr>
          <w:rFonts w:ascii="Verdana" w:hAnsi="Verdana"/>
          <w:sz w:val="44"/>
        </w:rPr>
        <w:t>Report</w:t>
      </w:r>
      <w:r w:rsidR="00C542F1" w:rsidRPr="00C542F1">
        <w:rPr>
          <w:rFonts w:ascii="Verdana" w:hAnsi="Verdana"/>
          <w:sz w:val="44"/>
        </w:rPr>
        <w:t xml:space="preserve"> </w:t>
      </w:r>
    </w:p>
    <w:p w:rsidR="00B31C55" w:rsidRDefault="009F241F" w:rsidP="00B31C55">
      <w:pPr>
        <w:pStyle w:val="NoSpacing"/>
        <w:jc w:val="center"/>
        <w:rPr>
          <w:rFonts w:ascii="Verdana" w:hAnsi="Verdana"/>
          <w:sz w:val="44"/>
        </w:rPr>
      </w:pPr>
      <w:r>
        <w:rPr>
          <w:rFonts w:ascii="Verdana" w:hAnsi="Verdana"/>
          <w:sz w:val="44"/>
        </w:rPr>
        <w:t>2019 Fiscal Year</w:t>
      </w:r>
      <w:r w:rsidR="00C542F1" w:rsidRPr="00C542F1">
        <w:rPr>
          <w:rFonts w:ascii="Verdana" w:hAnsi="Verdana"/>
          <w:sz w:val="44"/>
        </w:rPr>
        <w:t xml:space="preserve"> </w:t>
      </w:r>
    </w:p>
    <w:p w:rsidR="005577C8" w:rsidRPr="00B31C55" w:rsidRDefault="005577C8" w:rsidP="00B31C55">
      <w:pPr>
        <w:pStyle w:val="NoSpacing"/>
        <w:jc w:val="center"/>
        <w:rPr>
          <w:rFonts w:ascii="Verdana" w:hAnsi="Verdana"/>
          <w:sz w:val="44"/>
        </w:rPr>
      </w:pPr>
    </w:p>
    <w:tbl>
      <w:tblPr>
        <w:tblStyle w:val="TableGrid"/>
        <w:tblW w:w="1035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5220"/>
      </w:tblGrid>
      <w:tr w:rsidR="00C542F1" w:rsidTr="00C542F1">
        <w:tc>
          <w:tcPr>
            <w:tcW w:w="5130" w:type="dxa"/>
          </w:tcPr>
          <w:p w:rsidR="00C542F1" w:rsidRPr="009D2070" w:rsidRDefault="00C542F1" w:rsidP="00C542F1">
            <w:pPr>
              <w:pStyle w:val="NoSpacing"/>
              <w:jc w:val="center"/>
              <w:rPr>
                <w:rFonts w:ascii="Verdana" w:hAnsi="Verdana"/>
                <w:sz w:val="36"/>
              </w:rPr>
            </w:pPr>
            <w:r w:rsidRPr="009D2070">
              <w:rPr>
                <w:rFonts w:ascii="Verdana" w:hAnsi="Verdana"/>
                <w:sz w:val="28"/>
                <w:szCs w:val="28"/>
              </w:rPr>
              <w:t>Department of Administration</w:t>
            </w:r>
          </w:p>
        </w:tc>
        <w:tc>
          <w:tcPr>
            <w:tcW w:w="5220" w:type="dxa"/>
          </w:tcPr>
          <w:p w:rsidR="00C542F1" w:rsidRPr="009D2070" w:rsidRDefault="00C542F1" w:rsidP="00C542F1">
            <w:pPr>
              <w:pStyle w:val="NoSpacing"/>
              <w:jc w:val="center"/>
              <w:rPr>
                <w:rFonts w:ascii="Verdana" w:hAnsi="Verdana"/>
                <w:sz w:val="28"/>
                <w:szCs w:val="28"/>
              </w:rPr>
            </w:pPr>
            <w:r w:rsidRPr="009D2070">
              <w:rPr>
                <w:rFonts w:ascii="Verdana" w:hAnsi="Verdana"/>
                <w:sz w:val="28"/>
                <w:szCs w:val="28"/>
              </w:rPr>
              <w:t>Industrial Special Indemnity Fund</w:t>
            </w:r>
          </w:p>
        </w:tc>
      </w:tr>
      <w:tr w:rsidR="00C542F1" w:rsidRPr="00121859" w:rsidTr="00C542F1">
        <w:tc>
          <w:tcPr>
            <w:tcW w:w="5130" w:type="dxa"/>
          </w:tcPr>
          <w:p w:rsidR="00C542F1" w:rsidRPr="00744F90" w:rsidRDefault="007E36AB" w:rsidP="00C542F1">
            <w:pPr>
              <w:pStyle w:val="NoSpacing"/>
              <w:jc w:val="center"/>
              <w:rPr>
                <w:rFonts w:ascii="Verdana" w:hAnsi="Verdana"/>
                <w:sz w:val="28"/>
                <w:szCs w:val="28"/>
              </w:rPr>
            </w:pPr>
            <w:r w:rsidRPr="009F241F">
              <w:rPr>
                <w:rFonts w:ascii="Verdana" w:hAnsi="Verdana"/>
                <w:sz w:val="28"/>
                <w:szCs w:val="28"/>
              </w:rPr>
              <w:t>Bryan Mooney</w:t>
            </w:r>
            <w:r w:rsidR="00C542F1" w:rsidRPr="00744F90">
              <w:rPr>
                <w:rFonts w:ascii="Verdana" w:hAnsi="Verdana"/>
                <w:sz w:val="28"/>
                <w:szCs w:val="28"/>
              </w:rPr>
              <w:t xml:space="preserve">, Director               </w:t>
            </w:r>
          </w:p>
        </w:tc>
        <w:tc>
          <w:tcPr>
            <w:tcW w:w="5220" w:type="dxa"/>
          </w:tcPr>
          <w:p w:rsidR="00C542F1" w:rsidRPr="00744F90" w:rsidRDefault="00C542F1" w:rsidP="00C542F1">
            <w:pPr>
              <w:pStyle w:val="NoSpacing"/>
              <w:jc w:val="center"/>
              <w:rPr>
                <w:rFonts w:ascii="Verdana" w:hAnsi="Verdana"/>
                <w:sz w:val="28"/>
                <w:szCs w:val="28"/>
              </w:rPr>
            </w:pPr>
            <w:r w:rsidRPr="009F241F">
              <w:rPr>
                <w:rFonts w:ascii="Verdana" w:hAnsi="Verdana"/>
                <w:sz w:val="28"/>
                <w:szCs w:val="28"/>
              </w:rPr>
              <w:t xml:space="preserve">James </w:t>
            </w:r>
            <w:r w:rsidR="00831DC1" w:rsidRPr="009F241F">
              <w:rPr>
                <w:rFonts w:ascii="Verdana" w:hAnsi="Verdana"/>
                <w:sz w:val="28"/>
                <w:szCs w:val="28"/>
              </w:rPr>
              <w:t xml:space="preserve">F. </w:t>
            </w:r>
            <w:r w:rsidRPr="009F241F">
              <w:rPr>
                <w:rFonts w:ascii="Verdana" w:hAnsi="Verdana"/>
                <w:sz w:val="28"/>
                <w:szCs w:val="28"/>
              </w:rPr>
              <w:t>Kile</w:t>
            </w:r>
            <w:r w:rsidRPr="00744F90">
              <w:rPr>
                <w:rFonts w:ascii="Verdana" w:hAnsi="Verdana"/>
                <w:sz w:val="28"/>
                <w:szCs w:val="28"/>
              </w:rPr>
              <w:t>, Manager</w:t>
            </w:r>
          </w:p>
        </w:tc>
      </w:tr>
    </w:tbl>
    <w:p w:rsidR="00B31C55" w:rsidRPr="00121859" w:rsidRDefault="00B31C55" w:rsidP="00B31C55">
      <w:pPr>
        <w:pStyle w:val="NoSpacing"/>
        <w:rPr>
          <w:rFonts w:ascii="Verdana" w:hAnsi="Verdana"/>
          <w:sz w:val="24"/>
          <w:szCs w:val="24"/>
        </w:rPr>
      </w:pPr>
    </w:p>
    <w:p w:rsidR="00C542F1" w:rsidRPr="00121859" w:rsidRDefault="00C542F1" w:rsidP="00C542F1">
      <w:pPr>
        <w:pStyle w:val="NoSpacing"/>
        <w:jc w:val="center"/>
        <w:rPr>
          <w:rFonts w:ascii="Verdana" w:hAnsi="Verdana"/>
          <w:sz w:val="24"/>
          <w:szCs w:val="24"/>
        </w:rPr>
      </w:pPr>
      <w:r w:rsidRPr="00121859">
        <w:rPr>
          <w:rFonts w:ascii="Verdana" w:hAnsi="Verdana"/>
          <w:sz w:val="24"/>
          <w:szCs w:val="24"/>
        </w:rPr>
        <w:t>304 N. 8</w:t>
      </w:r>
      <w:r w:rsidRPr="00121859">
        <w:rPr>
          <w:rFonts w:ascii="Verdana" w:hAnsi="Verdana"/>
          <w:sz w:val="24"/>
          <w:szCs w:val="24"/>
          <w:vertAlign w:val="superscript"/>
        </w:rPr>
        <w:t>th</w:t>
      </w:r>
      <w:r w:rsidRPr="00121859">
        <w:rPr>
          <w:rFonts w:ascii="Verdana" w:hAnsi="Verdana"/>
          <w:sz w:val="24"/>
          <w:szCs w:val="24"/>
        </w:rPr>
        <w:t xml:space="preserve"> Street, Room 130</w:t>
      </w:r>
    </w:p>
    <w:p w:rsidR="00C542F1" w:rsidRDefault="00C542F1" w:rsidP="00C542F1">
      <w:pPr>
        <w:pStyle w:val="NoSpacing"/>
        <w:jc w:val="center"/>
        <w:rPr>
          <w:rFonts w:ascii="Verdana" w:hAnsi="Verdana"/>
          <w:sz w:val="24"/>
          <w:szCs w:val="24"/>
        </w:rPr>
      </w:pPr>
      <w:r w:rsidRPr="00121859">
        <w:rPr>
          <w:rFonts w:ascii="Verdana" w:hAnsi="Verdana"/>
          <w:sz w:val="24"/>
          <w:szCs w:val="24"/>
        </w:rPr>
        <w:t>Boise, ID  83702</w:t>
      </w:r>
    </w:p>
    <w:p w:rsidR="00E111EE" w:rsidRDefault="00E111EE" w:rsidP="00C542F1">
      <w:pPr>
        <w:pStyle w:val="NoSpacing"/>
        <w:jc w:val="center"/>
        <w:rPr>
          <w:rFonts w:ascii="Verdana" w:hAnsi="Verdana"/>
          <w:sz w:val="24"/>
          <w:szCs w:val="24"/>
        </w:rPr>
      </w:pPr>
      <w:r>
        <w:rPr>
          <w:rFonts w:ascii="Verdana" w:hAnsi="Verdana"/>
          <w:sz w:val="24"/>
          <w:szCs w:val="24"/>
        </w:rPr>
        <w:t>(208) 332-1836</w:t>
      </w:r>
    </w:p>
    <w:p w:rsidR="002D0D9E" w:rsidRDefault="002D0D9E" w:rsidP="00C542F1">
      <w:pPr>
        <w:pStyle w:val="NoSpacing"/>
        <w:jc w:val="center"/>
        <w:rPr>
          <w:rFonts w:ascii="Verdana" w:hAnsi="Verdana"/>
          <w:sz w:val="24"/>
          <w:szCs w:val="24"/>
        </w:rPr>
      </w:pPr>
    </w:p>
    <w:p w:rsidR="007952F2" w:rsidRPr="00B31C55" w:rsidRDefault="00E111EE" w:rsidP="00B31C55">
      <w:pPr>
        <w:pStyle w:val="NoSpacing"/>
        <w:jc w:val="center"/>
        <w:rPr>
          <w:rStyle w:val="Hyperlink"/>
          <w:rFonts w:ascii="Verdana" w:hAnsi="Verdana"/>
          <w:color w:val="002060"/>
          <w:sz w:val="24"/>
          <w:szCs w:val="24"/>
          <w:u w:val="none"/>
        </w:rPr>
      </w:pPr>
      <w:r>
        <w:rPr>
          <w:rFonts w:ascii="Verdana" w:hAnsi="Verdana"/>
          <w:sz w:val="24"/>
          <w:szCs w:val="24"/>
        </w:rPr>
        <w:t xml:space="preserve">Website: </w:t>
      </w:r>
      <w:r w:rsidRPr="00B31C55">
        <w:rPr>
          <w:rFonts w:ascii="Verdana" w:hAnsi="Verdana"/>
          <w:sz w:val="24"/>
          <w:szCs w:val="24"/>
        </w:rPr>
        <w:t>https://adm.idaho.gov/indemnity/</w:t>
      </w:r>
    </w:p>
    <w:p w:rsidR="00E111EE" w:rsidRPr="00121859" w:rsidRDefault="00E111EE" w:rsidP="00C542F1">
      <w:pPr>
        <w:pStyle w:val="NoSpacing"/>
        <w:jc w:val="center"/>
        <w:rPr>
          <w:rFonts w:ascii="Verdana" w:hAnsi="Verdana"/>
          <w:sz w:val="24"/>
          <w:szCs w:val="24"/>
        </w:rPr>
      </w:pPr>
      <w:r>
        <w:rPr>
          <w:rFonts w:ascii="Verdana" w:hAnsi="Verdana"/>
          <w:sz w:val="24"/>
          <w:szCs w:val="24"/>
        </w:rPr>
        <w:lastRenderedPageBreak/>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2B0E4" w:themeFill="text2" w:themeFillTint="66"/>
        <w:tblLook w:val="04A0" w:firstRow="1" w:lastRow="0" w:firstColumn="1" w:lastColumn="0" w:noHBand="0" w:noVBand="1"/>
      </w:tblPr>
      <w:tblGrid>
        <w:gridCol w:w="9576"/>
      </w:tblGrid>
      <w:tr w:rsidR="00E77251" w:rsidTr="00E77251">
        <w:tc>
          <w:tcPr>
            <w:tcW w:w="9576" w:type="dxa"/>
            <w:shd w:val="clear" w:color="auto" w:fill="59A9F2" w:themeFill="accent1" w:themeFillTint="99"/>
          </w:tcPr>
          <w:p w:rsidR="00E77251" w:rsidRPr="00AB57BB" w:rsidRDefault="00E77251" w:rsidP="00AB57BB">
            <w:pPr>
              <w:pStyle w:val="Heading2"/>
              <w:jc w:val="center"/>
              <w:outlineLvl w:val="1"/>
              <w:rPr>
                <w:rStyle w:val="Strong"/>
                <w:rFonts w:ascii="Verdana" w:hAnsi="Verdana"/>
                <w:b w:val="0"/>
                <w:sz w:val="24"/>
                <w:szCs w:val="24"/>
              </w:rPr>
            </w:pPr>
            <w:r w:rsidRPr="00AB57BB">
              <w:rPr>
                <w:rFonts w:ascii="Verdana" w:hAnsi="Verdana"/>
                <w:b/>
                <w:sz w:val="24"/>
                <w:szCs w:val="24"/>
              </w:rPr>
              <w:t>INTRODUCTION TO ISIF</w:t>
            </w:r>
          </w:p>
        </w:tc>
      </w:tr>
    </w:tbl>
    <w:p w:rsidR="007C7F80" w:rsidRPr="00BF3FC4" w:rsidRDefault="007C7F80" w:rsidP="006D6A2E">
      <w:pPr>
        <w:pStyle w:val="NoSpacing"/>
        <w:spacing w:before="0"/>
        <w:jc w:val="center"/>
        <w:rPr>
          <w:rFonts w:ascii="Arial" w:hAnsi="Arial" w:cs="Arial"/>
          <w:b/>
          <w:sz w:val="28"/>
          <w:szCs w:val="28"/>
        </w:rPr>
      </w:pPr>
    </w:p>
    <w:p w:rsidR="006D6A2E" w:rsidRPr="006D6A2E" w:rsidRDefault="003108A9" w:rsidP="006D6A2E">
      <w:pPr>
        <w:pStyle w:val="NoSpacing"/>
        <w:jc w:val="both"/>
        <w:rPr>
          <w:rFonts w:ascii="Verdana" w:hAnsi="Verdana" w:cs="Arial"/>
        </w:rPr>
      </w:pPr>
      <w:r>
        <w:rPr>
          <w:rFonts w:ascii="Arial" w:hAnsi="Arial" w:cs="Arial"/>
          <w:sz w:val="23"/>
          <w:szCs w:val="23"/>
        </w:rPr>
        <w:tab/>
      </w:r>
      <w:r w:rsidR="00C542F1" w:rsidRPr="00D66B53">
        <w:rPr>
          <w:rFonts w:ascii="Verdana" w:hAnsi="Verdana" w:cs="Arial"/>
        </w:rPr>
        <w:t>The Industrial Special Indemnity Fund (ISIF) was adopted in 1927 by the Idaho State Legislature as part of the state’s comprehensive workers</w:t>
      </w:r>
      <w:r w:rsidR="00D4600E" w:rsidRPr="00D66B53">
        <w:rPr>
          <w:rFonts w:ascii="Verdana" w:hAnsi="Verdana" w:cs="Arial"/>
        </w:rPr>
        <w:t>’</w:t>
      </w:r>
      <w:r w:rsidR="00C542F1" w:rsidRPr="00D66B53">
        <w:rPr>
          <w:rFonts w:ascii="Verdana" w:hAnsi="Verdana" w:cs="Arial"/>
        </w:rPr>
        <w:t xml:space="preserve"> compensation system.  The ISIF is mor</w:t>
      </w:r>
      <w:r w:rsidR="0001509B" w:rsidRPr="00D66B53">
        <w:rPr>
          <w:rFonts w:ascii="Verdana" w:hAnsi="Verdana" w:cs="Arial"/>
        </w:rPr>
        <w:t>e commonly referred to as the “S</w:t>
      </w:r>
      <w:r w:rsidR="00C542F1" w:rsidRPr="00D66B53">
        <w:rPr>
          <w:rFonts w:ascii="Verdana" w:hAnsi="Verdana" w:cs="Arial"/>
        </w:rPr>
        <w:t xml:space="preserve">econd </w:t>
      </w:r>
      <w:r w:rsidR="0001509B" w:rsidRPr="00D66B53">
        <w:rPr>
          <w:rFonts w:ascii="Verdana" w:hAnsi="Verdana" w:cs="Arial"/>
        </w:rPr>
        <w:t>I</w:t>
      </w:r>
      <w:r w:rsidR="00C542F1" w:rsidRPr="00D66B53">
        <w:rPr>
          <w:rFonts w:ascii="Verdana" w:hAnsi="Verdana" w:cs="Arial"/>
        </w:rPr>
        <w:t xml:space="preserve">njury </w:t>
      </w:r>
      <w:r w:rsidR="0001509B" w:rsidRPr="00D66B53">
        <w:rPr>
          <w:rFonts w:ascii="Verdana" w:hAnsi="Verdana" w:cs="Arial"/>
        </w:rPr>
        <w:t>F</w:t>
      </w:r>
      <w:r w:rsidR="00C542F1" w:rsidRPr="00D66B53">
        <w:rPr>
          <w:rFonts w:ascii="Verdana" w:hAnsi="Verdana" w:cs="Arial"/>
        </w:rPr>
        <w:t xml:space="preserve">und.”  Its general purpose when enacted was to encourage employers to hire </w:t>
      </w:r>
      <w:r w:rsidR="001E6AAE" w:rsidRPr="00D66B53">
        <w:rPr>
          <w:rFonts w:ascii="Verdana" w:hAnsi="Verdana" w:cs="Arial"/>
        </w:rPr>
        <w:t>previously injured</w:t>
      </w:r>
      <w:r w:rsidR="00C542F1" w:rsidRPr="00D66B53">
        <w:rPr>
          <w:rFonts w:ascii="Verdana" w:hAnsi="Verdana" w:cs="Arial"/>
        </w:rPr>
        <w:t xml:space="preserve"> workers by offering the employer relief from </w:t>
      </w:r>
      <w:r w:rsidR="001E6AAE" w:rsidRPr="00D66B53">
        <w:rPr>
          <w:rFonts w:ascii="Verdana" w:hAnsi="Verdana" w:cs="Arial"/>
        </w:rPr>
        <w:t>full liability for lifetime income benefits</w:t>
      </w:r>
      <w:r w:rsidR="00974EA7" w:rsidRPr="00D66B53">
        <w:rPr>
          <w:rFonts w:ascii="Verdana" w:hAnsi="Verdana" w:cs="Arial"/>
        </w:rPr>
        <w:t>,</w:t>
      </w:r>
      <w:r w:rsidR="00C542F1" w:rsidRPr="00D66B53">
        <w:rPr>
          <w:rFonts w:ascii="Verdana" w:hAnsi="Verdana" w:cs="Arial"/>
        </w:rPr>
        <w:t xml:space="preserve"> if the </w:t>
      </w:r>
      <w:r w:rsidR="001E6AAE" w:rsidRPr="00D66B53">
        <w:rPr>
          <w:rFonts w:ascii="Verdana" w:hAnsi="Verdana" w:cs="Arial"/>
        </w:rPr>
        <w:t>injured</w:t>
      </w:r>
      <w:r w:rsidR="00C542F1" w:rsidRPr="00D66B53">
        <w:rPr>
          <w:rFonts w:ascii="Verdana" w:hAnsi="Verdana" w:cs="Arial"/>
        </w:rPr>
        <w:t xml:space="preserve"> worker </w:t>
      </w:r>
      <w:r w:rsidR="001E6AAE" w:rsidRPr="00D66B53">
        <w:rPr>
          <w:rFonts w:ascii="Verdana" w:hAnsi="Verdana" w:cs="Arial"/>
        </w:rPr>
        <w:t>be</w:t>
      </w:r>
      <w:r w:rsidR="00C542F1" w:rsidRPr="00D66B53">
        <w:rPr>
          <w:rFonts w:ascii="Verdana" w:hAnsi="Verdana" w:cs="Arial"/>
        </w:rPr>
        <w:t>came totally and permanently disabled following a second or subsequent injury at work.</w:t>
      </w:r>
    </w:p>
    <w:p w:rsidR="006D6A2E" w:rsidRDefault="003108A9" w:rsidP="00BF3FC4">
      <w:pPr>
        <w:pStyle w:val="NoSpacing"/>
        <w:jc w:val="both"/>
        <w:rPr>
          <w:rFonts w:ascii="Verdana" w:hAnsi="Verdana" w:cs="Arial"/>
        </w:rPr>
      </w:pPr>
      <w:r w:rsidRPr="00D66B53">
        <w:rPr>
          <w:rFonts w:ascii="Verdana" w:hAnsi="Verdana" w:cs="Arial"/>
        </w:rPr>
        <w:tab/>
      </w:r>
      <w:r w:rsidR="00C542F1" w:rsidRPr="00D66B53">
        <w:rPr>
          <w:rFonts w:ascii="Verdana" w:hAnsi="Verdana" w:cs="Arial"/>
        </w:rPr>
        <w:t>The purpose and management of the ISIF was created in Sections 72-323, 324, 331 and 334, Idaho Code.</w:t>
      </w:r>
    </w:p>
    <w:p w:rsidR="006D6A2E" w:rsidRDefault="006D6A2E" w:rsidP="006D6A2E">
      <w:pPr>
        <w:pStyle w:val="NoSpacing"/>
        <w:jc w:val="both"/>
        <w:rPr>
          <w:rFonts w:ascii="Verdana" w:hAnsi="Verdana" w:cs="Arial"/>
        </w:rPr>
      </w:pPr>
      <w:r>
        <w:rPr>
          <w:rFonts w:ascii="Verdana" w:hAnsi="Verdana" w:cs="Arial"/>
        </w:rPr>
        <w:t xml:space="preserve"> </w:t>
      </w:r>
      <w:r>
        <w:rPr>
          <w:rFonts w:ascii="Verdana" w:hAnsi="Verdana" w:cs="Arial"/>
        </w:rPr>
        <w:tab/>
      </w:r>
      <w:r w:rsidRPr="00D66B53">
        <w:rPr>
          <w:rFonts w:ascii="Verdana" w:hAnsi="Verdana" w:cs="Arial"/>
        </w:rPr>
        <w:t xml:space="preserve">Claims for benefits from ISIF are started by filing a </w:t>
      </w:r>
      <w:r w:rsidRPr="00D66B53">
        <w:rPr>
          <w:rFonts w:ascii="Verdana" w:hAnsi="Verdana" w:cs="Arial"/>
          <w:u w:val="single"/>
        </w:rPr>
        <w:t>Notice of Intent to File a Complaint Against the ISIF</w:t>
      </w:r>
      <w:r w:rsidRPr="00D66B53">
        <w:rPr>
          <w:rFonts w:ascii="Verdana" w:hAnsi="Verdana" w:cs="Arial"/>
        </w:rPr>
        <w:t xml:space="preserve"> (NOI).  Such notices are usually filed by attorneys representing claimants, self-insured employers and insurance entities seeking ISIF contribution for total disability benefits.  The notices are filed with ISIF under what is commonly called the “60-day rule.”  Section 72-334, Idaho Code.  During the 60 days, the ISIF will undertake an in-house review of the claim for liability and will either resolve or deny the claim.  Following the conclusion of 60 days if the claim is not resolved, the party filing the NOI can elect to file a formal Complaint against the ISIF or forego further proceedings against ISIF.  Upon receipt of a Complaint, the ISIF will retain outside legal counsel and commence formal litigation of the claim</w:t>
      </w:r>
      <w:r w:rsidR="00EB5F7A">
        <w:rPr>
          <w:rFonts w:ascii="Verdana" w:hAnsi="Verdana" w:cs="Arial"/>
        </w:rPr>
        <w:t>.</w:t>
      </w:r>
    </w:p>
    <w:p w:rsidR="006D6A2E" w:rsidRPr="00D66B53" w:rsidRDefault="006D6A2E" w:rsidP="00BF3FC4">
      <w:pPr>
        <w:pStyle w:val="NoSpacing"/>
        <w:jc w:val="both"/>
        <w:rPr>
          <w:rFonts w:ascii="Verdana" w:hAnsi="Verdana" w:cs="Arial"/>
        </w:rPr>
      </w:pPr>
      <w:r>
        <w:rPr>
          <w:rFonts w:ascii="Verdana" w:hAnsi="Verdana" w:cs="Arial"/>
        </w:rPr>
        <w:tab/>
      </w:r>
      <w:r w:rsidRPr="00D66B53">
        <w:rPr>
          <w:rFonts w:ascii="Verdana" w:hAnsi="Verdana" w:cs="Arial"/>
        </w:rPr>
        <w:t xml:space="preserve">Resolution of claims can be </w:t>
      </w:r>
      <w:r w:rsidR="0085205A" w:rsidRPr="00D66B53">
        <w:rPr>
          <w:rFonts w:ascii="Verdana" w:hAnsi="Verdana" w:cs="Arial"/>
        </w:rPr>
        <w:t>accomplished</w:t>
      </w:r>
      <w:r w:rsidR="0085205A">
        <w:rPr>
          <w:rFonts w:ascii="Verdana" w:hAnsi="Verdana" w:cs="Arial"/>
        </w:rPr>
        <w:t xml:space="preserve"> </w:t>
      </w:r>
      <w:r>
        <w:rPr>
          <w:rFonts w:ascii="Verdana" w:hAnsi="Verdana" w:cs="Arial"/>
        </w:rPr>
        <w:t xml:space="preserve">in several ways, which may take the form of a </w:t>
      </w:r>
      <w:r w:rsidRPr="00D66B53">
        <w:rPr>
          <w:rFonts w:ascii="Verdana" w:hAnsi="Verdana" w:cs="Arial"/>
        </w:rPr>
        <w:t>one-time lump sum payment, periodic monthly payments, deferred lump sum or periodic payment, or any combination of these options with</w:t>
      </w:r>
      <w:r>
        <w:rPr>
          <w:rFonts w:ascii="Verdana" w:hAnsi="Verdana" w:cs="Arial"/>
        </w:rPr>
        <w:t xml:space="preserve"> the</w:t>
      </w:r>
      <w:r w:rsidRPr="00D66B53">
        <w:rPr>
          <w:rFonts w:ascii="Verdana" w:hAnsi="Verdana" w:cs="Arial"/>
        </w:rPr>
        <w:t xml:space="preserve"> approval of the Industrial Commission.</w:t>
      </w:r>
      <w:r>
        <w:rPr>
          <w:rFonts w:ascii="Verdana" w:hAnsi="Verdana" w:cs="Arial"/>
        </w:rPr>
        <w:t xml:space="preserve">  Of course, another method of resolution is through a contested hearing process.</w:t>
      </w:r>
    </w:p>
    <w:p w:rsidR="006D6A2E" w:rsidRPr="006D6A2E" w:rsidRDefault="003108A9" w:rsidP="00BF3FC4">
      <w:pPr>
        <w:pStyle w:val="NoSpacing"/>
        <w:jc w:val="both"/>
        <w:rPr>
          <w:rFonts w:ascii="Arial" w:hAnsi="Arial" w:cs="Arial"/>
          <w:sz w:val="22"/>
          <w:szCs w:val="22"/>
        </w:rPr>
      </w:pPr>
      <w:r w:rsidRPr="00D66B53">
        <w:rPr>
          <w:rFonts w:ascii="Verdana" w:hAnsi="Verdana" w:cs="Arial"/>
        </w:rPr>
        <w:tab/>
      </w:r>
      <w:r w:rsidR="00C542F1" w:rsidRPr="00D66B53">
        <w:rPr>
          <w:rFonts w:ascii="Verdana" w:hAnsi="Verdana" w:cs="Arial"/>
        </w:rPr>
        <w:t>ISIF is liable for lifetime total and permanent disability benefits only.  All other benefits within the workers</w:t>
      </w:r>
      <w:r w:rsidR="00D4600E" w:rsidRPr="00D66B53">
        <w:rPr>
          <w:rFonts w:ascii="Verdana" w:hAnsi="Verdana" w:cs="Arial"/>
        </w:rPr>
        <w:t>’</w:t>
      </w:r>
      <w:r w:rsidR="00C542F1" w:rsidRPr="00D66B53">
        <w:rPr>
          <w:rFonts w:ascii="Verdana" w:hAnsi="Verdana" w:cs="Arial"/>
        </w:rPr>
        <w:t xml:space="preserve"> compensation program are the responsibility of the </w:t>
      </w:r>
      <w:r w:rsidR="006D1E3F" w:rsidRPr="00D66B53">
        <w:rPr>
          <w:rFonts w:ascii="Verdana" w:hAnsi="Verdana" w:cs="Arial"/>
        </w:rPr>
        <w:t>last injury employer and surety.  Examples of these types of benefits would include</w:t>
      </w:r>
      <w:r w:rsidR="00C542F1" w:rsidRPr="00D66B53">
        <w:rPr>
          <w:rFonts w:ascii="Verdana" w:hAnsi="Verdana" w:cs="Arial"/>
        </w:rPr>
        <w:t xml:space="preserve"> retraining, medical</w:t>
      </w:r>
      <w:r w:rsidR="0068509A" w:rsidRPr="00D66B53">
        <w:rPr>
          <w:rFonts w:ascii="Verdana" w:hAnsi="Verdana" w:cs="Arial"/>
        </w:rPr>
        <w:t xml:space="preserve"> care</w:t>
      </w:r>
      <w:r w:rsidR="00C542F1" w:rsidRPr="00D66B53">
        <w:rPr>
          <w:rFonts w:ascii="Verdana" w:hAnsi="Verdana" w:cs="Arial"/>
        </w:rPr>
        <w:t>, vocational</w:t>
      </w:r>
      <w:r w:rsidR="0068509A" w:rsidRPr="00D66B53">
        <w:rPr>
          <w:rFonts w:ascii="Verdana" w:hAnsi="Verdana" w:cs="Arial"/>
        </w:rPr>
        <w:t xml:space="preserve"> placement</w:t>
      </w:r>
      <w:r w:rsidR="00C542F1" w:rsidRPr="00D66B53">
        <w:rPr>
          <w:rFonts w:ascii="Verdana" w:hAnsi="Verdana" w:cs="Arial"/>
        </w:rPr>
        <w:t xml:space="preserve">, </w:t>
      </w:r>
      <w:r w:rsidR="0068509A" w:rsidRPr="00D66B53">
        <w:rPr>
          <w:rFonts w:ascii="Verdana" w:hAnsi="Verdana" w:cs="Arial"/>
        </w:rPr>
        <w:t xml:space="preserve">physical loss of </w:t>
      </w:r>
      <w:r w:rsidR="00EB5F7A">
        <w:rPr>
          <w:rFonts w:ascii="Verdana" w:hAnsi="Verdana" w:cs="Arial"/>
        </w:rPr>
        <w:t xml:space="preserve">body part </w:t>
      </w:r>
      <w:r w:rsidR="00C542F1" w:rsidRPr="00D66B53">
        <w:rPr>
          <w:rFonts w:ascii="Verdana" w:hAnsi="Verdana" w:cs="Arial"/>
        </w:rPr>
        <w:t xml:space="preserve">function, partial disability, etc.  Allocation of liability for total and permanent disability is apportioned </w:t>
      </w:r>
      <w:r w:rsidR="00B31C55" w:rsidRPr="00D66B53">
        <w:rPr>
          <w:rFonts w:ascii="Verdana" w:hAnsi="Verdana" w:cs="Arial"/>
        </w:rPr>
        <w:t xml:space="preserve">between the employer/surety and </w:t>
      </w:r>
      <w:r w:rsidR="008A37A2" w:rsidRPr="00D66B53">
        <w:rPr>
          <w:rFonts w:ascii="Verdana" w:hAnsi="Verdana" w:cs="Arial"/>
        </w:rPr>
        <w:t>ISIF</w:t>
      </w:r>
      <w:r w:rsidR="00566670">
        <w:rPr>
          <w:rFonts w:ascii="Verdana" w:hAnsi="Verdana" w:cs="Arial"/>
        </w:rPr>
        <w:t>.</w:t>
      </w:r>
    </w:p>
    <w:p w:rsidR="006D6A2E" w:rsidRPr="00D66B53" w:rsidRDefault="003108A9" w:rsidP="00BF3FC4">
      <w:pPr>
        <w:pStyle w:val="NoSpacing"/>
        <w:jc w:val="both"/>
        <w:rPr>
          <w:rFonts w:ascii="Verdana" w:hAnsi="Verdana" w:cs="Arial"/>
        </w:rPr>
      </w:pPr>
      <w:r w:rsidRPr="008D660B">
        <w:rPr>
          <w:rFonts w:ascii="Arial" w:hAnsi="Arial" w:cs="Arial"/>
          <w:sz w:val="24"/>
          <w:szCs w:val="24"/>
        </w:rPr>
        <w:tab/>
      </w:r>
      <w:r w:rsidR="00C542F1" w:rsidRPr="00D66B53">
        <w:rPr>
          <w:rFonts w:ascii="Verdana" w:hAnsi="Verdana" w:cs="Arial"/>
        </w:rPr>
        <w:t xml:space="preserve">Benefit rates for total and permanent disability, and hence ISIF liability, are part of a statutory system too complicated to explain in this Introduction.  In general, the benefits are based on the average weekly wage of the injured worker </w:t>
      </w:r>
      <w:r w:rsidR="00794D3F" w:rsidRPr="00D66B53">
        <w:rPr>
          <w:rFonts w:ascii="Verdana" w:hAnsi="Verdana" w:cs="Arial"/>
        </w:rPr>
        <w:t xml:space="preserve">compared to the average </w:t>
      </w:r>
      <w:r w:rsidR="00EB7CD9" w:rsidRPr="00D66B53">
        <w:rPr>
          <w:rFonts w:ascii="Verdana" w:hAnsi="Verdana" w:cs="Arial"/>
        </w:rPr>
        <w:t xml:space="preserve">weekly </w:t>
      </w:r>
      <w:r w:rsidR="00794D3F" w:rsidRPr="00D66B53">
        <w:rPr>
          <w:rFonts w:ascii="Verdana" w:hAnsi="Verdana" w:cs="Arial"/>
        </w:rPr>
        <w:t>state wage (ASW) of all workers in Idaho.  The comparison</w:t>
      </w:r>
      <w:r w:rsidR="00C542F1" w:rsidRPr="00D66B53">
        <w:rPr>
          <w:rFonts w:ascii="Verdana" w:hAnsi="Verdana" w:cs="Arial"/>
        </w:rPr>
        <w:t xml:space="preserve"> fa</w:t>
      </w:r>
      <w:r w:rsidR="00794D3F" w:rsidRPr="00D66B53">
        <w:rPr>
          <w:rFonts w:ascii="Verdana" w:hAnsi="Verdana" w:cs="Arial"/>
        </w:rPr>
        <w:t>lls</w:t>
      </w:r>
      <w:r w:rsidR="00C542F1" w:rsidRPr="00D66B53">
        <w:rPr>
          <w:rFonts w:ascii="Verdana" w:hAnsi="Verdana" w:cs="Arial"/>
        </w:rPr>
        <w:t xml:space="preserve"> into cate</w:t>
      </w:r>
      <w:r w:rsidR="00794D3F" w:rsidRPr="00D66B53">
        <w:rPr>
          <w:rFonts w:ascii="Verdana" w:hAnsi="Verdana" w:cs="Arial"/>
        </w:rPr>
        <w:t>gories of 45%, 60% or 67% of th</w:t>
      </w:r>
      <w:r w:rsidR="00EB7CD9" w:rsidRPr="00D66B53">
        <w:rPr>
          <w:rFonts w:ascii="Verdana" w:hAnsi="Verdana" w:cs="Arial"/>
        </w:rPr>
        <w:t>e</w:t>
      </w:r>
      <w:r w:rsidR="00C542F1" w:rsidRPr="00D66B53">
        <w:rPr>
          <w:rFonts w:ascii="Verdana" w:hAnsi="Verdana" w:cs="Arial"/>
        </w:rPr>
        <w:t xml:space="preserve"> </w:t>
      </w:r>
      <w:r w:rsidR="00794D3F" w:rsidRPr="00D66B53">
        <w:rPr>
          <w:rFonts w:ascii="Verdana" w:hAnsi="Verdana" w:cs="Arial"/>
        </w:rPr>
        <w:t>ASW.</w:t>
      </w:r>
      <w:r w:rsidR="00C542F1" w:rsidRPr="00D66B53">
        <w:rPr>
          <w:rFonts w:ascii="Verdana" w:hAnsi="Verdana" w:cs="Arial"/>
        </w:rPr>
        <w:t xml:space="preserve">  Benefits are </w:t>
      </w:r>
      <w:r w:rsidR="00EB7CD9" w:rsidRPr="00D66B53">
        <w:rPr>
          <w:rFonts w:ascii="Verdana" w:hAnsi="Verdana" w:cs="Arial"/>
        </w:rPr>
        <w:t xml:space="preserve">then </w:t>
      </w:r>
      <w:r w:rsidR="00C542F1" w:rsidRPr="00D66B53">
        <w:rPr>
          <w:rFonts w:ascii="Verdana" w:hAnsi="Verdana" w:cs="Arial"/>
        </w:rPr>
        <w:t xml:space="preserve">paid </w:t>
      </w:r>
      <w:r w:rsidR="00EB7CD9" w:rsidRPr="00D66B53">
        <w:rPr>
          <w:rFonts w:ascii="Verdana" w:hAnsi="Verdana" w:cs="Arial"/>
        </w:rPr>
        <w:t xml:space="preserve">depending on the </w:t>
      </w:r>
      <w:r w:rsidR="00AB28BB" w:rsidRPr="00D66B53">
        <w:rPr>
          <w:rFonts w:ascii="Verdana" w:hAnsi="Verdana" w:cs="Arial"/>
        </w:rPr>
        <w:t>category</w:t>
      </w:r>
      <w:r w:rsidR="00EB7CD9" w:rsidRPr="00D66B53">
        <w:rPr>
          <w:rFonts w:ascii="Verdana" w:hAnsi="Verdana" w:cs="Arial"/>
        </w:rPr>
        <w:t xml:space="preserve"> of wage.  Benefits </w:t>
      </w:r>
      <w:r w:rsidR="00C542F1" w:rsidRPr="00D66B53">
        <w:rPr>
          <w:rFonts w:ascii="Verdana" w:hAnsi="Verdana" w:cs="Arial"/>
        </w:rPr>
        <w:t>may change from year-to-year as the</w:t>
      </w:r>
      <w:r w:rsidR="00EB7CD9" w:rsidRPr="00D66B53">
        <w:rPr>
          <w:rFonts w:ascii="Verdana" w:hAnsi="Verdana" w:cs="Arial"/>
        </w:rPr>
        <w:t xml:space="preserve"> average </w:t>
      </w:r>
      <w:r w:rsidR="00DA71F0" w:rsidRPr="00D66B53">
        <w:rPr>
          <w:rFonts w:ascii="Verdana" w:hAnsi="Verdana" w:cs="Arial"/>
        </w:rPr>
        <w:t xml:space="preserve">state </w:t>
      </w:r>
      <w:r w:rsidR="00EB7CD9" w:rsidRPr="00D66B53">
        <w:rPr>
          <w:rFonts w:ascii="Verdana" w:hAnsi="Verdana" w:cs="Arial"/>
        </w:rPr>
        <w:t>weekly wage may change with inflationary factors.</w:t>
      </w:r>
    </w:p>
    <w:p w:rsidR="006D6A2E" w:rsidRDefault="006D6A2E" w:rsidP="006D6A2E">
      <w:pPr>
        <w:pStyle w:val="NoSpacing"/>
        <w:jc w:val="both"/>
        <w:rPr>
          <w:rFonts w:ascii="Verdana" w:hAnsi="Verdana" w:cs="Arial"/>
        </w:rPr>
      </w:pPr>
      <w:r>
        <w:rPr>
          <w:rFonts w:ascii="Verdana" w:hAnsi="Verdana" w:cs="Arial"/>
        </w:rPr>
        <w:tab/>
      </w:r>
      <w:r w:rsidRPr="00D66B53">
        <w:rPr>
          <w:rFonts w:ascii="Verdana" w:hAnsi="Verdana" w:cs="Arial"/>
        </w:rPr>
        <w:t>Funding for the ISIF is provided by an annual assessment</w:t>
      </w:r>
      <w:r w:rsidR="0072396D">
        <w:rPr>
          <w:rFonts w:ascii="Verdana" w:hAnsi="Verdana" w:cs="Arial"/>
        </w:rPr>
        <w:t xml:space="preserve"> to the State Insurance Fund, self-insured companies, and other workers compensation insurance companies (collectively “insurance companies”)</w:t>
      </w:r>
      <w:r w:rsidRPr="00D66B53">
        <w:rPr>
          <w:rFonts w:ascii="Verdana" w:hAnsi="Verdana" w:cs="Arial"/>
        </w:rPr>
        <w:t>.  The assessment is calculated by ISIF to be an amount which is two times (2x) all its expenses during the immediately preceding fiscal year less (-) the cash balance at the end of that fiscal year.  That figure is then pro-rated among the</w:t>
      </w:r>
      <w:r w:rsidR="0072396D">
        <w:rPr>
          <w:rFonts w:ascii="Verdana" w:hAnsi="Verdana" w:cs="Arial"/>
        </w:rPr>
        <w:t xml:space="preserve"> insurance</w:t>
      </w:r>
      <w:r w:rsidRPr="00D66B53">
        <w:rPr>
          <w:rFonts w:ascii="Verdana" w:hAnsi="Verdana" w:cs="Arial"/>
        </w:rPr>
        <w:t xml:space="preserve"> </w:t>
      </w:r>
      <w:r w:rsidR="0072396D">
        <w:rPr>
          <w:rFonts w:ascii="Verdana" w:hAnsi="Verdana" w:cs="Arial"/>
        </w:rPr>
        <w:t>companies</w:t>
      </w:r>
      <w:r w:rsidRPr="00D66B53">
        <w:rPr>
          <w:rFonts w:ascii="Verdana" w:hAnsi="Verdana" w:cs="Arial"/>
        </w:rPr>
        <w:t xml:space="preserve"> based on each entity’s proportionate share of total indemnity (income) benefits paid on workers’ compensation claims during the reporting period.  The pro-rated amount is calculated by the Idaho Industrial Commission for each responsible entity.  Additionally, the Commission invoices each entity for the assessment and collects the funds on behalf of the ISIF.  Those services by the Commission are performed through a separate inter-agency contract with the ISIF.</w:t>
      </w:r>
    </w:p>
    <w:p w:rsidR="006B31BA" w:rsidRPr="00D84C9D" w:rsidRDefault="006D6A2E" w:rsidP="00BF3FC4">
      <w:pPr>
        <w:pStyle w:val="NoSpacing"/>
        <w:jc w:val="both"/>
        <w:rPr>
          <w:rFonts w:ascii="Verdana" w:hAnsi="Verdana" w:cs="Arial"/>
        </w:rPr>
      </w:pPr>
      <w:r>
        <w:rPr>
          <w:rFonts w:ascii="Verdana" w:hAnsi="Verdana" w:cs="Arial"/>
        </w:rPr>
        <w:tab/>
        <w:t xml:space="preserve">The </w:t>
      </w:r>
      <w:r w:rsidR="0002309C">
        <w:rPr>
          <w:rFonts w:ascii="Verdana" w:hAnsi="Verdana" w:cs="Arial"/>
        </w:rPr>
        <w:t>information</w:t>
      </w:r>
      <w:r>
        <w:rPr>
          <w:rFonts w:ascii="Verdana" w:hAnsi="Verdana" w:cs="Arial"/>
        </w:rPr>
        <w:t xml:space="preserve"> </w:t>
      </w:r>
      <w:r w:rsidR="0002309C">
        <w:rPr>
          <w:rFonts w:ascii="Verdana" w:hAnsi="Verdana" w:cs="Arial"/>
        </w:rPr>
        <w:t>throughout</w:t>
      </w:r>
      <w:r>
        <w:rPr>
          <w:rFonts w:ascii="Verdana" w:hAnsi="Verdana" w:cs="Arial"/>
        </w:rPr>
        <w:t xml:space="preserve"> this Report was taken from </w:t>
      </w:r>
      <w:r w:rsidR="0002309C">
        <w:rPr>
          <w:rFonts w:ascii="Verdana" w:hAnsi="Verdana" w:cs="Arial"/>
        </w:rPr>
        <w:t>fiscal year (FY) statistics</w:t>
      </w:r>
      <w:r w:rsidR="00EB5F7A" w:rsidRPr="0002309C">
        <w:rPr>
          <w:rFonts w:ascii="Verdana" w:hAnsi="Verdana" w:cs="Arial"/>
        </w:rPr>
        <w:t xml:space="preserve">, </w:t>
      </w:r>
      <w:r w:rsidR="00EB5F7A" w:rsidRPr="00EB5F7A">
        <w:rPr>
          <w:rFonts w:ascii="Verdana" w:hAnsi="Verdana" w:cs="Arial"/>
        </w:rPr>
        <w:t xml:space="preserve">which </w:t>
      </w:r>
      <w:r w:rsidR="0002309C">
        <w:rPr>
          <w:rFonts w:ascii="Verdana" w:hAnsi="Verdana" w:cs="Arial"/>
        </w:rPr>
        <w:t>close</w:t>
      </w:r>
      <w:r w:rsidR="00EB5F7A" w:rsidRPr="00EB5F7A">
        <w:rPr>
          <w:rFonts w:ascii="Verdana" w:hAnsi="Verdana" w:cs="Arial"/>
        </w:rPr>
        <w:t xml:space="preserve"> on June 30 of each year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5DEFF6" w:themeFill="accent3" w:themeFillTint="99"/>
        <w:tblLook w:val="04A0" w:firstRow="1" w:lastRow="0" w:firstColumn="1" w:lastColumn="0" w:noHBand="0" w:noVBand="1"/>
      </w:tblPr>
      <w:tblGrid>
        <w:gridCol w:w="9576"/>
      </w:tblGrid>
      <w:tr w:rsidR="00E77251" w:rsidTr="00E77251">
        <w:tc>
          <w:tcPr>
            <w:tcW w:w="9576" w:type="dxa"/>
            <w:shd w:val="clear" w:color="auto" w:fill="5DEFF6" w:themeFill="accent3" w:themeFillTint="99"/>
          </w:tcPr>
          <w:p w:rsidR="00E77251" w:rsidRPr="00AB57BB" w:rsidRDefault="00E77251" w:rsidP="00AB57BB">
            <w:pPr>
              <w:pStyle w:val="Heading2"/>
              <w:jc w:val="center"/>
              <w:outlineLvl w:val="1"/>
              <w:rPr>
                <w:rFonts w:ascii="Verdana" w:hAnsi="Verdana"/>
                <w:b/>
                <w:sz w:val="24"/>
                <w:szCs w:val="24"/>
              </w:rPr>
            </w:pPr>
            <w:r w:rsidRPr="00AB57BB">
              <w:rPr>
                <w:rFonts w:ascii="Verdana" w:hAnsi="Verdana"/>
                <w:b/>
                <w:sz w:val="24"/>
                <w:szCs w:val="24"/>
              </w:rPr>
              <w:lastRenderedPageBreak/>
              <w:t>OPERATIONS</w:t>
            </w:r>
          </w:p>
        </w:tc>
      </w:tr>
    </w:tbl>
    <w:p w:rsidR="00CC6B7D" w:rsidRPr="00E50715" w:rsidRDefault="00CC6B7D" w:rsidP="00CC6B7D">
      <w:pPr>
        <w:pStyle w:val="NoSpacing"/>
        <w:rPr>
          <w:rFonts w:ascii="Arial" w:hAnsi="Arial" w:cs="Arial"/>
          <w:b/>
          <w:sz w:val="28"/>
          <w:szCs w:val="28"/>
        </w:rPr>
      </w:pPr>
    </w:p>
    <w:p w:rsidR="00C542F1" w:rsidRDefault="00F86B00" w:rsidP="00C542F1">
      <w:pPr>
        <w:pStyle w:val="NoSpacing"/>
        <w:rPr>
          <w:rFonts w:ascii="Verdana" w:hAnsi="Verdana" w:cs="Arial"/>
          <w:b/>
          <w:u w:val="single"/>
        </w:rPr>
      </w:pPr>
      <w:r w:rsidRPr="00D66B53">
        <w:rPr>
          <w:rFonts w:ascii="Verdana" w:hAnsi="Verdana" w:cs="Arial"/>
          <w:b/>
          <w:u w:val="single"/>
        </w:rPr>
        <w:t>Claims Management</w:t>
      </w:r>
    </w:p>
    <w:p w:rsidR="00641169" w:rsidRPr="00FB24DB" w:rsidRDefault="00641169" w:rsidP="00C542F1">
      <w:pPr>
        <w:pStyle w:val="NoSpacing"/>
        <w:rPr>
          <w:rFonts w:ascii="Verdana" w:hAnsi="Verdana" w:cs="Arial"/>
          <w:b/>
          <w:u w:val="single"/>
        </w:rPr>
      </w:pPr>
    </w:p>
    <w:p w:rsidR="00641169" w:rsidRDefault="00C17D70" w:rsidP="00641169">
      <w:pPr>
        <w:pStyle w:val="NoSpacing"/>
        <w:jc w:val="both"/>
        <w:rPr>
          <w:rFonts w:ascii="Verdana" w:hAnsi="Verdana" w:cs="Arial"/>
        </w:rPr>
      </w:pPr>
      <w:r w:rsidRPr="00D66B53">
        <w:rPr>
          <w:rFonts w:ascii="Verdana" w:hAnsi="Verdana" w:cs="Arial"/>
        </w:rPr>
        <w:tab/>
      </w:r>
      <w:r w:rsidR="00C542F1" w:rsidRPr="00D66B53">
        <w:rPr>
          <w:rFonts w:ascii="Verdana" w:hAnsi="Verdana" w:cs="Arial"/>
        </w:rPr>
        <w:t xml:space="preserve">Managing claims is a major function of this agency.  </w:t>
      </w:r>
      <w:r w:rsidR="00AB28BB" w:rsidRPr="00D66B53">
        <w:rPr>
          <w:rFonts w:ascii="Verdana" w:hAnsi="Verdana" w:cs="Arial"/>
        </w:rPr>
        <w:t>I</w:t>
      </w:r>
      <w:r w:rsidR="00C542F1" w:rsidRPr="00D66B53">
        <w:rPr>
          <w:rFonts w:ascii="Verdana" w:hAnsi="Verdana" w:cs="Arial"/>
        </w:rPr>
        <w:t>nitially</w:t>
      </w:r>
      <w:r w:rsidR="00AB28BB" w:rsidRPr="00D66B53">
        <w:rPr>
          <w:rFonts w:ascii="Verdana" w:hAnsi="Verdana" w:cs="Arial"/>
        </w:rPr>
        <w:t>,</w:t>
      </w:r>
      <w:r w:rsidR="00C542F1" w:rsidRPr="00D66B53">
        <w:rPr>
          <w:rFonts w:ascii="Verdana" w:hAnsi="Verdana" w:cs="Arial"/>
        </w:rPr>
        <w:t xml:space="preserve"> NOIs </w:t>
      </w:r>
      <w:r w:rsidR="00AB28BB" w:rsidRPr="00D66B53">
        <w:rPr>
          <w:rFonts w:ascii="Verdana" w:hAnsi="Verdana" w:cs="Arial"/>
        </w:rPr>
        <w:t xml:space="preserve">are fully evaluated by the administrative personnel within ISIF.  A letter explaining the </w:t>
      </w:r>
      <w:r w:rsidR="00566670">
        <w:rPr>
          <w:rFonts w:ascii="Verdana" w:hAnsi="Verdana" w:cs="Arial"/>
        </w:rPr>
        <w:t xml:space="preserve">evaluation </w:t>
      </w:r>
      <w:r w:rsidR="00AB28BB" w:rsidRPr="00D66B53">
        <w:rPr>
          <w:rFonts w:ascii="Verdana" w:hAnsi="Verdana" w:cs="Arial"/>
        </w:rPr>
        <w:t xml:space="preserve">is issued </w:t>
      </w:r>
      <w:r w:rsidR="00C542F1" w:rsidRPr="00D66B53">
        <w:rPr>
          <w:rFonts w:ascii="Verdana" w:hAnsi="Verdana" w:cs="Arial"/>
        </w:rPr>
        <w:t>within 60 days</w:t>
      </w:r>
      <w:r w:rsidR="002C34E2">
        <w:rPr>
          <w:rFonts w:ascii="Verdana" w:hAnsi="Verdana" w:cs="Arial"/>
        </w:rPr>
        <w:t xml:space="preserve"> after receiving the NOI</w:t>
      </w:r>
      <w:r w:rsidR="00C542F1" w:rsidRPr="00D66B53">
        <w:rPr>
          <w:rFonts w:ascii="Verdana" w:hAnsi="Verdana" w:cs="Arial"/>
        </w:rPr>
        <w:t>.  If the claim</w:t>
      </w:r>
      <w:r w:rsidR="00AB28BB" w:rsidRPr="00D66B53">
        <w:rPr>
          <w:rFonts w:ascii="Verdana" w:hAnsi="Verdana" w:cs="Arial"/>
        </w:rPr>
        <w:t xml:space="preserve"> is denied and a formal Complaint is filed</w:t>
      </w:r>
      <w:r w:rsidR="00C542F1" w:rsidRPr="00D66B53">
        <w:rPr>
          <w:rFonts w:ascii="Verdana" w:hAnsi="Verdana" w:cs="Arial"/>
        </w:rPr>
        <w:t xml:space="preserve"> with the Industrial Commission, </w:t>
      </w:r>
      <w:r w:rsidR="00D70E2A" w:rsidRPr="00D66B53">
        <w:rPr>
          <w:rFonts w:ascii="Verdana" w:hAnsi="Verdana" w:cs="Arial"/>
        </w:rPr>
        <w:t>ISIF</w:t>
      </w:r>
      <w:r w:rsidR="00C542F1" w:rsidRPr="00D66B53">
        <w:rPr>
          <w:rFonts w:ascii="Verdana" w:hAnsi="Verdana" w:cs="Arial"/>
        </w:rPr>
        <w:t xml:space="preserve"> </w:t>
      </w:r>
      <w:r w:rsidR="00EB5F7A">
        <w:rPr>
          <w:rFonts w:ascii="Verdana" w:hAnsi="Verdana" w:cs="Arial"/>
        </w:rPr>
        <w:t xml:space="preserve">then </w:t>
      </w:r>
      <w:r w:rsidR="00C542F1" w:rsidRPr="00D66B53">
        <w:rPr>
          <w:rFonts w:ascii="Verdana" w:hAnsi="Verdana" w:cs="Arial"/>
        </w:rPr>
        <w:t xml:space="preserve">takes a more formal approach </w:t>
      </w:r>
      <w:r w:rsidR="00D70E2A" w:rsidRPr="00D66B53">
        <w:rPr>
          <w:rFonts w:ascii="Verdana" w:hAnsi="Verdana" w:cs="Arial"/>
        </w:rPr>
        <w:t>to managing and</w:t>
      </w:r>
      <w:r w:rsidR="00C542F1" w:rsidRPr="00D66B53">
        <w:rPr>
          <w:rFonts w:ascii="Verdana" w:hAnsi="Verdana" w:cs="Arial"/>
        </w:rPr>
        <w:t xml:space="preserve"> </w:t>
      </w:r>
      <w:r w:rsidR="00EB5F7A">
        <w:rPr>
          <w:rFonts w:ascii="Verdana" w:hAnsi="Verdana" w:cs="Arial"/>
        </w:rPr>
        <w:t>resolving</w:t>
      </w:r>
      <w:r w:rsidR="00C542F1" w:rsidRPr="00D66B53">
        <w:rPr>
          <w:rFonts w:ascii="Verdana" w:hAnsi="Verdana" w:cs="Arial"/>
        </w:rPr>
        <w:t xml:space="preserve"> the claim with the assistance of outside legal counsel.  </w:t>
      </w:r>
      <w:r w:rsidR="00F14D97">
        <w:rPr>
          <w:rFonts w:ascii="Verdana" w:hAnsi="Verdana" w:cs="Arial"/>
        </w:rPr>
        <w:t xml:space="preserve">In any event, </w:t>
      </w:r>
      <w:r w:rsidR="00C542F1" w:rsidRPr="00D66B53">
        <w:rPr>
          <w:rFonts w:ascii="Verdana" w:hAnsi="Verdana" w:cs="Arial"/>
        </w:rPr>
        <w:t xml:space="preserve">ISIF personnel are actively involved in all </w:t>
      </w:r>
      <w:r w:rsidR="00F14D97">
        <w:rPr>
          <w:rFonts w:ascii="Verdana" w:hAnsi="Verdana" w:cs="Arial"/>
        </w:rPr>
        <w:t xml:space="preserve">management </w:t>
      </w:r>
      <w:r w:rsidR="00C542F1" w:rsidRPr="00D66B53">
        <w:rPr>
          <w:rFonts w:ascii="Verdana" w:hAnsi="Verdana" w:cs="Arial"/>
        </w:rPr>
        <w:t xml:space="preserve">phases of the claim from </w:t>
      </w:r>
      <w:r w:rsidR="00820695" w:rsidRPr="00D66B53">
        <w:rPr>
          <w:rFonts w:ascii="Verdana" w:hAnsi="Verdana" w:cs="Arial"/>
        </w:rPr>
        <w:t xml:space="preserve">initial filing </w:t>
      </w:r>
      <w:r w:rsidR="00C46FA9" w:rsidRPr="00D66B53">
        <w:rPr>
          <w:rFonts w:ascii="Verdana" w:hAnsi="Verdana" w:cs="Arial"/>
        </w:rPr>
        <w:t xml:space="preserve">of the NOI </w:t>
      </w:r>
      <w:r w:rsidR="00820695" w:rsidRPr="00D66B53">
        <w:rPr>
          <w:rFonts w:ascii="Verdana" w:hAnsi="Verdana" w:cs="Arial"/>
        </w:rPr>
        <w:t>to final resolution.</w:t>
      </w:r>
      <w:r w:rsidR="00C542F1" w:rsidRPr="00D66B53">
        <w:rPr>
          <w:rFonts w:ascii="Verdana" w:hAnsi="Verdana" w:cs="Arial"/>
        </w:rPr>
        <w:t xml:space="preserve">  </w:t>
      </w:r>
    </w:p>
    <w:tbl>
      <w:tblPr>
        <w:tblW w:w="11973" w:type="dxa"/>
        <w:tblInd w:w="108" w:type="dxa"/>
        <w:tblLook w:val="04A0" w:firstRow="1" w:lastRow="0" w:firstColumn="1" w:lastColumn="0" w:noHBand="0" w:noVBand="1"/>
      </w:tblPr>
      <w:tblGrid>
        <w:gridCol w:w="1196"/>
        <w:gridCol w:w="316"/>
        <w:gridCol w:w="445"/>
        <w:gridCol w:w="916"/>
        <w:gridCol w:w="1998"/>
        <w:gridCol w:w="1998"/>
        <w:gridCol w:w="2176"/>
        <w:gridCol w:w="976"/>
        <w:gridCol w:w="976"/>
        <w:gridCol w:w="976"/>
      </w:tblGrid>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sz w:val="24"/>
                <w:szCs w:val="24"/>
              </w:rPr>
            </w:pPr>
          </w:p>
        </w:tc>
        <w:tc>
          <w:tcPr>
            <w:tcW w:w="316" w:type="dxa"/>
            <w:tcBorders>
              <w:top w:val="nil"/>
              <w:left w:val="nil"/>
              <w:bottom w:val="nil"/>
              <w:right w:val="nil"/>
            </w:tcBorders>
            <w:shd w:val="clear" w:color="auto" w:fill="auto"/>
            <w:noWrap/>
            <w:vAlign w:val="bottom"/>
            <w:hideMark/>
          </w:tcPr>
          <w:p w:rsidR="00641169" w:rsidRDefault="00641169" w:rsidP="00641169">
            <w:pPr>
              <w:spacing w:before="0" w:after="0" w:line="240" w:lineRule="auto"/>
              <w:rPr>
                <w:rFonts w:ascii="Times New Roman" w:eastAsia="Times New Roman" w:hAnsi="Times New Roman" w:cs="Times New Roman"/>
              </w:rPr>
            </w:pPr>
          </w:p>
          <w:p w:rsidR="00975B5D" w:rsidRDefault="00975B5D" w:rsidP="00641169">
            <w:pPr>
              <w:spacing w:before="0" w:after="0" w:line="240" w:lineRule="auto"/>
              <w:rPr>
                <w:rFonts w:ascii="Times New Roman" w:eastAsia="Times New Roman" w:hAnsi="Times New Roman" w:cs="Times New Roman"/>
              </w:rPr>
            </w:pPr>
          </w:p>
          <w:p w:rsidR="00975B5D" w:rsidRDefault="00975B5D" w:rsidP="00641169">
            <w:pPr>
              <w:spacing w:before="0" w:after="0" w:line="240" w:lineRule="auto"/>
              <w:rPr>
                <w:rFonts w:ascii="Times New Roman" w:eastAsia="Times New Roman" w:hAnsi="Times New Roman" w:cs="Times New Roman"/>
              </w:rPr>
            </w:pPr>
          </w:p>
          <w:p w:rsidR="00641169" w:rsidRDefault="00641169" w:rsidP="00641169">
            <w:pPr>
              <w:spacing w:before="0" w:after="0" w:line="240" w:lineRule="auto"/>
              <w:rPr>
                <w:rFonts w:ascii="Times New Roman" w:eastAsia="Times New Roman" w:hAnsi="Times New Roman" w:cs="Times New Roman"/>
              </w:rPr>
            </w:pPr>
          </w:p>
          <w:p w:rsidR="00641169" w:rsidRPr="00641169" w:rsidRDefault="00641169" w:rsidP="00641169">
            <w:pPr>
              <w:spacing w:before="0" w:after="0" w:line="240" w:lineRule="auto"/>
              <w:rPr>
                <w:rFonts w:ascii="Times New Roman" w:eastAsia="Times New Roman" w:hAnsi="Times New Roman" w:cs="Times New Roman"/>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3996" w:type="dxa"/>
            <w:gridSpan w:val="2"/>
            <w:tcBorders>
              <w:top w:val="nil"/>
              <w:left w:val="nil"/>
              <w:bottom w:val="nil"/>
              <w:right w:val="nil"/>
            </w:tcBorders>
            <w:shd w:val="clear" w:color="auto" w:fill="auto"/>
            <w:noWrap/>
            <w:vAlign w:val="bottom"/>
            <w:hideMark/>
          </w:tcPr>
          <w:p w:rsidR="00641169" w:rsidRPr="00975B5D" w:rsidRDefault="00641169" w:rsidP="00641169">
            <w:pPr>
              <w:spacing w:before="0" w:after="0" w:line="240" w:lineRule="auto"/>
              <w:rPr>
                <w:rFonts w:ascii="Verdana" w:eastAsia="Times New Roman" w:hAnsi="Verdana" w:cs="Calibri"/>
                <w:b/>
                <w:bCs/>
                <w:color w:val="000000"/>
                <w:sz w:val="18"/>
                <w:szCs w:val="18"/>
              </w:rPr>
            </w:pPr>
            <w:r w:rsidRPr="00975B5D">
              <w:rPr>
                <w:rFonts w:ascii="Verdana" w:eastAsia="Times New Roman" w:hAnsi="Verdana" w:cs="Calibri"/>
                <w:b/>
                <w:bCs/>
                <w:color w:val="000000"/>
                <w:sz w:val="18"/>
                <w:szCs w:val="18"/>
              </w:rPr>
              <w:t>Notice of Intent Filings   FY</w:t>
            </w: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Verdana" w:eastAsia="Times New Roman" w:hAnsi="Verdana" w:cs="Calibri"/>
                <w:b/>
                <w:bCs/>
                <w:color w:val="000000"/>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2009</w:t>
            </w:r>
          </w:p>
        </w:tc>
        <w:tc>
          <w:tcPr>
            <w:tcW w:w="3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63</w:t>
            </w:r>
          </w:p>
        </w:tc>
        <w:tc>
          <w:tcPr>
            <w:tcW w:w="9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Calibri" w:eastAsia="Times New Roman" w:hAnsi="Calibri" w:cs="Calibri"/>
                <w:color w:val="000000"/>
                <w:sz w:val="22"/>
                <w:szCs w:val="22"/>
              </w:rPr>
            </w:pPr>
            <w:r w:rsidRPr="00641169">
              <w:rPr>
                <w:rFonts w:ascii="Calibri" w:eastAsia="Times New Roman" w:hAnsi="Calibri" w:cs="Calibri"/>
                <w:noProof/>
                <w:color w:val="000000"/>
                <w:sz w:val="22"/>
                <w:szCs w:val="22"/>
              </w:rPr>
              <w:drawing>
                <wp:anchor distT="0" distB="0" distL="114300" distR="114300" simplePos="0" relativeHeight="251658240" behindDoc="0" locked="0" layoutInCell="1" allowOverlap="1">
                  <wp:simplePos x="0" y="0"/>
                  <wp:positionH relativeFrom="column">
                    <wp:posOffset>138430</wp:posOffset>
                  </wp:positionH>
                  <wp:positionV relativeFrom="paragraph">
                    <wp:posOffset>20955</wp:posOffset>
                  </wp:positionV>
                  <wp:extent cx="4710430" cy="2241550"/>
                  <wp:effectExtent l="0" t="0" r="13970" b="6350"/>
                  <wp:wrapNone/>
                  <wp:docPr id="6" name="Chart 6">
                    <a:extLst xmlns:a="http://schemas.openxmlformats.org/drawingml/2006/main">
                      <a:ext uri="{FF2B5EF4-FFF2-40B4-BE49-F238E27FC236}">
                        <a16:creationId xmlns:a16="http://schemas.microsoft.com/office/drawing/2014/main" id="{873694C5-C8E6-4B5E-9CA2-7B0C91CEA20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700"/>
            </w:tblGrid>
            <w:tr w:rsidR="00641169" w:rsidRPr="00641169">
              <w:trPr>
                <w:trHeight w:val="300"/>
                <w:tblCellSpacing w:w="0" w:type="dxa"/>
              </w:trPr>
              <w:tc>
                <w:tcPr>
                  <w:tcW w:w="700"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Calibri" w:eastAsia="Times New Roman" w:hAnsi="Calibri" w:cs="Calibri"/>
                      <w:color w:val="000000"/>
                      <w:sz w:val="22"/>
                      <w:szCs w:val="22"/>
                    </w:rPr>
                  </w:pPr>
                </w:p>
              </w:tc>
            </w:tr>
          </w:tbl>
          <w:p w:rsidR="00641169" w:rsidRPr="00641169" w:rsidRDefault="00641169" w:rsidP="00641169">
            <w:pPr>
              <w:spacing w:before="0" w:after="0" w:line="240" w:lineRule="auto"/>
              <w:rPr>
                <w:rFonts w:ascii="Calibri" w:eastAsia="Times New Roman" w:hAnsi="Calibri" w:cs="Calibri"/>
                <w:color w:val="000000"/>
                <w:sz w:val="22"/>
                <w:szCs w:val="22"/>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10</w:t>
            </w:r>
          </w:p>
        </w:tc>
        <w:tc>
          <w:tcPr>
            <w:tcW w:w="3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50</w:t>
            </w:r>
          </w:p>
        </w:tc>
        <w:tc>
          <w:tcPr>
            <w:tcW w:w="9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11</w:t>
            </w:r>
          </w:p>
        </w:tc>
        <w:tc>
          <w:tcPr>
            <w:tcW w:w="3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48</w:t>
            </w:r>
          </w:p>
        </w:tc>
        <w:tc>
          <w:tcPr>
            <w:tcW w:w="9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12</w:t>
            </w:r>
          </w:p>
        </w:tc>
        <w:tc>
          <w:tcPr>
            <w:tcW w:w="3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50</w:t>
            </w:r>
          </w:p>
        </w:tc>
        <w:tc>
          <w:tcPr>
            <w:tcW w:w="9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13</w:t>
            </w:r>
          </w:p>
        </w:tc>
        <w:tc>
          <w:tcPr>
            <w:tcW w:w="3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44</w:t>
            </w:r>
          </w:p>
        </w:tc>
        <w:tc>
          <w:tcPr>
            <w:tcW w:w="9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14</w:t>
            </w:r>
          </w:p>
        </w:tc>
        <w:tc>
          <w:tcPr>
            <w:tcW w:w="3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49</w:t>
            </w:r>
          </w:p>
        </w:tc>
        <w:tc>
          <w:tcPr>
            <w:tcW w:w="9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15</w:t>
            </w:r>
          </w:p>
        </w:tc>
        <w:tc>
          <w:tcPr>
            <w:tcW w:w="3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41</w:t>
            </w:r>
          </w:p>
        </w:tc>
        <w:tc>
          <w:tcPr>
            <w:tcW w:w="9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16</w:t>
            </w:r>
          </w:p>
        </w:tc>
        <w:tc>
          <w:tcPr>
            <w:tcW w:w="3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32</w:t>
            </w:r>
          </w:p>
        </w:tc>
        <w:tc>
          <w:tcPr>
            <w:tcW w:w="9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17</w:t>
            </w:r>
          </w:p>
        </w:tc>
        <w:tc>
          <w:tcPr>
            <w:tcW w:w="3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26</w:t>
            </w:r>
          </w:p>
        </w:tc>
        <w:tc>
          <w:tcPr>
            <w:tcW w:w="9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18</w:t>
            </w:r>
          </w:p>
        </w:tc>
        <w:tc>
          <w:tcPr>
            <w:tcW w:w="3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39</w:t>
            </w:r>
          </w:p>
        </w:tc>
        <w:tc>
          <w:tcPr>
            <w:tcW w:w="9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19</w:t>
            </w:r>
          </w:p>
        </w:tc>
        <w:tc>
          <w:tcPr>
            <w:tcW w:w="3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r w:rsidRPr="00641169">
              <w:rPr>
                <w:rFonts w:ascii="Verdana" w:eastAsia="Times New Roman" w:hAnsi="Verdana" w:cs="Calibri"/>
                <w:color w:val="000000"/>
                <w:sz w:val="18"/>
                <w:szCs w:val="18"/>
              </w:rPr>
              <w:t>37</w:t>
            </w:r>
          </w:p>
        </w:tc>
        <w:tc>
          <w:tcPr>
            <w:tcW w:w="9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jc w:val="right"/>
              <w:rPr>
                <w:rFonts w:ascii="Verdana" w:eastAsia="Times New Roman" w:hAnsi="Verdana" w:cs="Calibri"/>
                <w:color w:val="000000"/>
                <w:sz w:val="18"/>
                <w:szCs w:val="18"/>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r w:rsidR="00641169" w:rsidRPr="00641169" w:rsidTr="00641169">
        <w:trPr>
          <w:trHeight w:val="300"/>
        </w:trPr>
        <w:tc>
          <w:tcPr>
            <w:tcW w:w="119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31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445"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16" w:type="dxa"/>
            <w:tcBorders>
              <w:top w:val="nil"/>
              <w:left w:val="nil"/>
              <w:bottom w:val="nil"/>
              <w:right w:val="nil"/>
            </w:tcBorders>
            <w:shd w:val="clear" w:color="auto" w:fill="auto"/>
            <w:noWrap/>
            <w:vAlign w:val="bottom"/>
            <w:hideMark/>
          </w:tcPr>
          <w:p w:rsidR="00641169" w:rsidRDefault="00641169" w:rsidP="00641169">
            <w:pPr>
              <w:spacing w:before="0" w:after="0" w:line="240" w:lineRule="auto"/>
              <w:rPr>
                <w:rFonts w:ascii="Times New Roman" w:eastAsia="Times New Roman" w:hAnsi="Times New Roman" w:cs="Times New Roman"/>
              </w:rPr>
            </w:pPr>
          </w:p>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1998"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21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Default="00641169" w:rsidP="00641169">
            <w:pPr>
              <w:spacing w:before="0" w:after="0" w:line="240" w:lineRule="auto"/>
              <w:rPr>
                <w:rFonts w:ascii="Times New Roman" w:eastAsia="Times New Roman" w:hAnsi="Times New Roman" w:cs="Times New Roman"/>
              </w:rPr>
            </w:pPr>
          </w:p>
          <w:p w:rsidR="00975B5D" w:rsidRPr="00641169" w:rsidRDefault="00975B5D"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41169" w:rsidRPr="00641169" w:rsidRDefault="00641169" w:rsidP="00641169">
            <w:pPr>
              <w:spacing w:before="0" w:after="0" w:line="240" w:lineRule="auto"/>
              <w:rPr>
                <w:rFonts w:ascii="Times New Roman" w:eastAsia="Times New Roman" w:hAnsi="Times New Roman" w:cs="Times New Roman"/>
              </w:rPr>
            </w:pPr>
          </w:p>
        </w:tc>
      </w:tr>
    </w:tbl>
    <w:p w:rsidR="00975B5D" w:rsidRDefault="006E48E4" w:rsidP="001E1C18">
      <w:pPr>
        <w:pStyle w:val="NoSpacing"/>
        <w:ind w:firstLine="720"/>
        <w:jc w:val="both"/>
        <w:rPr>
          <w:rFonts w:ascii="Verdana" w:hAnsi="Verdana" w:cs="Arial"/>
        </w:rPr>
      </w:pPr>
      <w:r w:rsidRPr="00D66B53">
        <w:rPr>
          <w:rFonts w:ascii="Verdana" w:hAnsi="Verdana" w:cs="Arial"/>
        </w:rPr>
        <w:t xml:space="preserve">As the </w:t>
      </w:r>
      <w:r>
        <w:rPr>
          <w:rFonts w:ascii="Verdana" w:hAnsi="Verdana" w:cs="Arial"/>
        </w:rPr>
        <w:t>above</w:t>
      </w:r>
      <w:r w:rsidRPr="00D66B53">
        <w:rPr>
          <w:rFonts w:ascii="Verdana" w:hAnsi="Verdana" w:cs="Arial"/>
        </w:rPr>
        <w:t xml:space="preserve"> chart shows, ISIF experienced a </w:t>
      </w:r>
      <w:r>
        <w:rPr>
          <w:rFonts w:ascii="Verdana" w:hAnsi="Verdana" w:cs="Arial"/>
        </w:rPr>
        <w:t>more leveling</w:t>
      </w:r>
      <w:r w:rsidRPr="00D66B53">
        <w:rPr>
          <w:rFonts w:ascii="Verdana" w:hAnsi="Verdana" w:cs="Arial"/>
        </w:rPr>
        <w:t xml:space="preserve"> of NOI</w:t>
      </w:r>
      <w:r>
        <w:rPr>
          <w:rFonts w:ascii="Verdana" w:hAnsi="Verdana" w:cs="Arial"/>
        </w:rPr>
        <w:t xml:space="preserve"> filings</w:t>
      </w:r>
      <w:r w:rsidRPr="00D66B53">
        <w:rPr>
          <w:rFonts w:ascii="Verdana" w:hAnsi="Verdana" w:cs="Arial"/>
        </w:rPr>
        <w:t xml:space="preserve"> in the last fiscal year.  </w:t>
      </w:r>
      <w:r w:rsidR="002C34E2">
        <w:rPr>
          <w:rFonts w:ascii="Verdana" w:hAnsi="Verdana" w:cs="Arial"/>
        </w:rPr>
        <w:t>Although t</w:t>
      </w:r>
      <w:r w:rsidRPr="00D66B53">
        <w:rPr>
          <w:rFonts w:ascii="Verdana" w:hAnsi="Verdana" w:cs="Arial"/>
        </w:rPr>
        <w:t xml:space="preserve">he reason is not clear, but the impact </w:t>
      </w:r>
      <w:r w:rsidR="002C34E2">
        <w:rPr>
          <w:rFonts w:ascii="Verdana" w:hAnsi="Verdana" w:cs="Arial"/>
        </w:rPr>
        <w:t xml:space="preserve">in the number of complaints filed </w:t>
      </w:r>
      <w:r w:rsidRPr="00D66B53">
        <w:rPr>
          <w:rFonts w:ascii="Verdana" w:hAnsi="Verdana" w:cs="Arial"/>
        </w:rPr>
        <w:t>may not be realized for several more years.</w:t>
      </w:r>
    </w:p>
    <w:tbl>
      <w:tblPr>
        <w:tblW w:w="13010" w:type="dxa"/>
        <w:tblInd w:w="108" w:type="dxa"/>
        <w:tblLook w:val="04A0" w:firstRow="1" w:lastRow="0" w:firstColumn="1" w:lastColumn="0" w:noHBand="0" w:noVBand="1"/>
      </w:tblPr>
      <w:tblGrid>
        <w:gridCol w:w="1196"/>
        <w:gridCol w:w="998"/>
        <w:gridCol w:w="222"/>
        <w:gridCol w:w="4357"/>
        <w:gridCol w:w="1103"/>
        <w:gridCol w:w="1103"/>
        <w:gridCol w:w="1103"/>
        <w:gridCol w:w="976"/>
        <w:gridCol w:w="976"/>
        <w:gridCol w:w="976"/>
      </w:tblGrid>
      <w:tr w:rsidR="006E48E4" w:rsidRPr="006E48E4" w:rsidTr="006E48E4">
        <w:trPr>
          <w:trHeight w:val="300"/>
        </w:trPr>
        <w:tc>
          <w:tcPr>
            <w:tcW w:w="1196" w:type="dxa"/>
            <w:tcBorders>
              <w:top w:val="nil"/>
              <w:left w:val="nil"/>
              <w:bottom w:val="nil"/>
              <w:right w:val="nil"/>
            </w:tcBorders>
            <w:shd w:val="clear" w:color="auto" w:fill="auto"/>
            <w:noWrap/>
            <w:vAlign w:val="bottom"/>
            <w:hideMark/>
          </w:tcPr>
          <w:p w:rsidR="006E48E4" w:rsidRDefault="006E48E4" w:rsidP="006E48E4">
            <w:pPr>
              <w:spacing w:before="0" w:after="0" w:line="240" w:lineRule="auto"/>
              <w:rPr>
                <w:rFonts w:ascii="Times New Roman" w:eastAsia="Times New Roman" w:hAnsi="Times New Roman" w:cs="Times New Roman"/>
                <w:sz w:val="24"/>
                <w:szCs w:val="24"/>
              </w:rPr>
            </w:pPr>
          </w:p>
          <w:p w:rsidR="006E48E4" w:rsidRDefault="006E48E4" w:rsidP="006E48E4">
            <w:pPr>
              <w:spacing w:before="0" w:after="0" w:line="240" w:lineRule="auto"/>
              <w:rPr>
                <w:rFonts w:ascii="Times New Roman" w:eastAsia="Times New Roman" w:hAnsi="Times New Roman" w:cs="Times New Roman"/>
                <w:sz w:val="24"/>
                <w:szCs w:val="24"/>
              </w:rPr>
            </w:pPr>
          </w:p>
          <w:p w:rsidR="006E48E4" w:rsidRPr="006E48E4" w:rsidRDefault="006E48E4" w:rsidP="006E48E4">
            <w:pPr>
              <w:spacing w:before="0" w:after="0" w:line="240" w:lineRule="auto"/>
              <w:rPr>
                <w:rFonts w:ascii="Times New Roman" w:eastAsia="Times New Roman" w:hAnsi="Times New Roman" w:cs="Times New Roman"/>
                <w:sz w:val="24"/>
                <w:szCs w:val="24"/>
              </w:rPr>
            </w:pPr>
          </w:p>
        </w:tc>
        <w:tc>
          <w:tcPr>
            <w:tcW w:w="1220" w:type="dxa"/>
            <w:gridSpan w:val="2"/>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Verdana" w:eastAsia="Times New Roman" w:hAnsi="Verdana" w:cs="Calibri"/>
                <w:b/>
                <w:bCs/>
                <w:color w:val="000000"/>
                <w:sz w:val="18"/>
                <w:szCs w:val="18"/>
              </w:rPr>
            </w:pPr>
            <w:r w:rsidRPr="006E48E4">
              <w:rPr>
                <w:rFonts w:ascii="Verdana" w:eastAsia="Times New Roman" w:hAnsi="Verdana" w:cs="Calibri"/>
                <w:b/>
                <w:bCs/>
                <w:color w:val="000000"/>
                <w:sz w:val="18"/>
                <w:szCs w:val="18"/>
              </w:rPr>
              <w:t xml:space="preserve">                   </w:t>
            </w:r>
          </w:p>
        </w:tc>
        <w:tc>
          <w:tcPr>
            <w:tcW w:w="4357"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Verdana" w:eastAsia="Times New Roman" w:hAnsi="Verdana" w:cs="Calibri"/>
                <w:b/>
                <w:bCs/>
                <w:color w:val="000000"/>
                <w:sz w:val="18"/>
                <w:szCs w:val="18"/>
              </w:rPr>
            </w:pPr>
            <w:r w:rsidRPr="006E48E4">
              <w:rPr>
                <w:rFonts w:ascii="Verdana" w:eastAsia="Times New Roman" w:hAnsi="Verdana" w:cs="Calibri"/>
                <w:b/>
                <w:bCs/>
                <w:color w:val="000000"/>
                <w:sz w:val="18"/>
                <w:szCs w:val="18"/>
              </w:rPr>
              <w:t xml:space="preserve">              Complaint Filings   FY</w:t>
            </w:r>
          </w:p>
        </w:tc>
        <w:tc>
          <w:tcPr>
            <w:tcW w:w="1103"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Verdana" w:eastAsia="Times New Roman" w:hAnsi="Verdana" w:cs="Calibri"/>
                <w:b/>
                <w:bCs/>
                <w:color w:val="000000"/>
                <w:sz w:val="18"/>
                <w:szCs w:val="18"/>
              </w:rPr>
            </w:pPr>
          </w:p>
        </w:tc>
        <w:tc>
          <w:tcPr>
            <w:tcW w:w="1103"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1103"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r>
      <w:tr w:rsidR="006E48E4" w:rsidRPr="006E48E4" w:rsidTr="006E48E4">
        <w:trPr>
          <w:trHeight w:val="300"/>
        </w:trPr>
        <w:tc>
          <w:tcPr>
            <w:tcW w:w="119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2009</w:t>
            </w:r>
          </w:p>
        </w:tc>
        <w:tc>
          <w:tcPr>
            <w:tcW w:w="998"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41</w:t>
            </w:r>
          </w:p>
        </w:tc>
        <w:tc>
          <w:tcPr>
            <w:tcW w:w="7888" w:type="dxa"/>
            <w:gridSpan w:val="5"/>
            <w:vMerge w:val="restart"/>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Verdana" w:eastAsia="Times New Roman" w:hAnsi="Verdana" w:cs="Calibri"/>
                <w:color w:val="000000"/>
                <w:sz w:val="18"/>
                <w:szCs w:val="18"/>
              </w:rPr>
            </w:pPr>
            <w:r w:rsidRPr="006E48E4">
              <w:rPr>
                <w:rFonts w:ascii="Verdana" w:eastAsia="Times New Roman" w:hAnsi="Verdana" w:cs="Calibri"/>
                <w:noProof/>
                <w:color w:val="000000"/>
                <w:sz w:val="18"/>
                <w:szCs w:val="18"/>
              </w:rPr>
              <w:drawing>
                <wp:anchor distT="0" distB="0" distL="114300" distR="114300" simplePos="0" relativeHeight="251655168" behindDoc="0" locked="0" layoutInCell="1" allowOverlap="1">
                  <wp:simplePos x="0" y="0"/>
                  <wp:positionH relativeFrom="column">
                    <wp:posOffset>192405</wp:posOffset>
                  </wp:positionH>
                  <wp:positionV relativeFrom="paragraph">
                    <wp:posOffset>38100</wp:posOffset>
                  </wp:positionV>
                  <wp:extent cx="4674870" cy="2056765"/>
                  <wp:effectExtent l="0" t="0" r="11430" b="635"/>
                  <wp:wrapNone/>
                  <wp:docPr id="3" name="Chart 3">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vAlign w:val="center"/>
            <w:hideMark/>
          </w:tcPr>
          <w:p w:rsidR="006E48E4" w:rsidRPr="006E48E4" w:rsidRDefault="006E48E4" w:rsidP="006E48E4">
            <w:pPr>
              <w:spacing w:before="0" w:after="0" w:line="240" w:lineRule="auto"/>
              <w:rPr>
                <w:rFonts w:ascii="Times New Roman" w:eastAsia="Times New Roman" w:hAnsi="Times New Roman" w:cs="Times New Roman"/>
              </w:rPr>
            </w:pPr>
          </w:p>
        </w:tc>
      </w:tr>
      <w:tr w:rsidR="006E48E4" w:rsidRPr="006E48E4" w:rsidTr="006E48E4">
        <w:trPr>
          <w:trHeight w:val="300"/>
        </w:trPr>
        <w:tc>
          <w:tcPr>
            <w:tcW w:w="119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10</w:t>
            </w:r>
          </w:p>
        </w:tc>
        <w:tc>
          <w:tcPr>
            <w:tcW w:w="998"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21</w:t>
            </w:r>
          </w:p>
        </w:tc>
        <w:tc>
          <w:tcPr>
            <w:tcW w:w="7888" w:type="dxa"/>
            <w:gridSpan w:val="5"/>
            <w:vMerge/>
            <w:tcBorders>
              <w:top w:val="nil"/>
              <w:left w:val="nil"/>
              <w:bottom w:val="nil"/>
              <w:right w:val="nil"/>
            </w:tcBorders>
            <w:vAlign w:val="center"/>
            <w:hideMark/>
          </w:tcPr>
          <w:p w:rsidR="006E48E4" w:rsidRPr="006E48E4" w:rsidRDefault="006E48E4" w:rsidP="006E48E4">
            <w:pPr>
              <w:spacing w:before="0" w:after="0" w:line="240" w:lineRule="auto"/>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vAlign w:val="center"/>
            <w:hideMark/>
          </w:tcPr>
          <w:p w:rsidR="006E48E4" w:rsidRPr="006E48E4" w:rsidRDefault="006E48E4" w:rsidP="006E48E4">
            <w:pPr>
              <w:spacing w:before="0" w:after="0" w:line="240" w:lineRule="auto"/>
              <w:rPr>
                <w:rFonts w:ascii="Times New Roman" w:eastAsia="Times New Roman" w:hAnsi="Times New Roman" w:cs="Times New Roman"/>
              </w:rPr>
            </w:pPr>
          </w:p>
        </w:tc>
      </w:tr>
      <w:tr w:rsidR="006E48E4" w:rsidRPr="006E48E4" w:rsidTr="006E48E4">
        <w:trPr>
          <w:trHeight w:val="300"/>
        </w:trPr>
        <w:tc>
          <w:tcPr>
            <w:tcW w:w="119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11</w:t>
            </w:r>
          </w:p>
        </w:tc>
        <w:tc>
          <w:tcPr>
            <w:tcW w:w="998"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42</w:t>
            </w:r>
          </w:p>
        </w:tc>
        <w:tc>
          <w:tcPr>
            <w:tcW w:w="7888" w:type="dxa"/>
            <w:gridSpan w:val="5"/>
            <w:vMerge/>
            <w:tcBorders>
              <w:top w:val="nil"/>
              <w:left w:val="nil"/>
              <w:bottom w:val="nil"/>
              <w:right w:val="nil"/>
            </w:tcBorders>
            <w:vAlign w:val="center"/>
            <w:hideMark/>
          </w:tcPr>
          <w:p w:rsidR="006E48E4" w:rsidRPr="006E48E4" w:rsidRDefault="006E48E4" w:rsidP="006E48E4">
            <w:pPr>
              <w:spacing w:before="0" w:after="0" w:line="240" w:lineRule="auto"/>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vAlign w:val="center"/>
            <w:hideMark/>
          </w:tcPr>
          <w:p w:rsidR="006E48E4" w:rsidRPr="006E48E4" w:rsidRDefault="006E48E4" w:rsidP="006E48E4">
            <w:pPr>
              <w:spacing w:before="0" w:after="0" w:line="240" w:lineRule="auto"/>
              <w:rPr>
                <w:rFonts w:ascii="Times New Roman" w:eastAsia="Times New Roman" w:hAnsi="Times New Roman" w:cs="Times New Roman"/>
              </w:rPr>
            </w:pPr>
          </w:p>
        </w:tc>
      </w:tr>
      <w:tr w:rsidR="006E48E4" w:rsidRPr="006E48E4" w:rsidTr="006E48E4">
        <w:trPr>
          <w:trHeight w:val="300"/>
        </w:trPr>
        <w:tc>
          <w:tcPr>
            <w:tcW w:w="119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12</w:t>
            </w:r>
          </w:p>
        </w:tc>
        <w:tc>
          <w:tcPr>
            <w:tcW w:w="998"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32</w:t>
            </w:r>
          </w:p>
        </w:tc>
        <w:tc>
          <w:tcPr>
            <w:tcW w:w="7888" w:type="dxa"/>
            <w:gridSpan w:val="5"/>
            <w:vMerge/>
            <w:tcBorders>
              <w:top w:val="nil"/>
              <w:left w:val="nil"/>
              <w:bottom w:val="nil"/>
              <w:right w:val="nil"/>
            </w:tcBorders>
            <w:vAlign w:val="center"/>
            <w:hideMark/>
          </w:tcPr>
          <w:p w:rsidR="006E48E4" w:rsidRPr="006E48E4" w:rsidRDefault="006E48E4" w:rsidP="006E48E4">
            <w:pPr>
              <w:spacing w:before="0" w:after="0" w:line="240" w:lineRule="auto"/>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vAlign w:val="center"/>
            <w:hideMark/>
          </w:tcPr>
          <w:p w:rsidR="006E48E4" w:rsidRPr="006E48E4" w:rsidRDefault="006E48E4" w:rsidP="006E48E4">
            <w:pPr>
              <w:spacing w:before="0" w:after="0" w:line="240" w:lineRule="auto"/>
              <w:rPr>
                <w:rFonts w:ascii="Times New Roman" w:eastAsia="Times New Roman" w:hAnsi="Times New Roman" w:cs="Times New Roman"/>
              </w:rPr>
            </w:pPr>
          </w:p>
        </w:tc>
      </w:tr>
      <w:tr w:rsidR="006E48E4" w:rsidRPr="006E48E4" w:rsidTr="006E48E4">
        <w:trPr>
          <w:trHeight w:val="300"/>
        </w:trPr>
        <w:tc>
          <w:tcPr>
            <w:tcW w:w="119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13</w:t>
            </w:r>
          </w:p>
        </w:tc>
        <w:tc>
          <w:tcPr>
            <w:tcW w:w="998"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41</w:t>
            </w:r>
          </w:p>
        </w:tc>
        <w:tc>
          <w:tcPr>
            <w:tcW w:w="7888" w:type="dxa"/>
            <w:gridSpan w:val="5"/>
            <w:vMerge/>
            <w:tcBorders>
              <w:top w:val="nil"/>
              <w:left w:val="nil"/>
              <w:bottom w:val="nil"/>
              <w:right w:val="nil"/>
            </w:tcBorders>
            <w:vAlign w:val="center"/>
            <w:hideMark/>
          </w:tcPr>
          <w:p w:rsidR="006E48E4" w:rsidRPr="006E48E4" w:rsidRDefault="006E48E4" w:rsidP="006E48E4">
            <w:pPr>
              <w:spacing w:before="0" w:after="0" w:line="240" w:lineRule="auto"/>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vAlign w:val="center"/>
            <w:hideMark/>
          </w:tcPr>
          <w:p w:rsidR="006E48E4" w:rsidRPr="006E48E4" w:rsidRDefault="006E48E4" w:rsidP="006E48E4">
            <w:pPr>
              <w:spacing w:before="0" w:after="0" w:line="240" w:lineRule="auto"/>
              <w:rPr>
                <w:rFonts w:ascii="Times New Roman" w:eastAsia="Times New Roman" w:hAnsi="Times New Roman" w:cs="Times New Roman"/>
              </w:rPr>
            </w:pPr>
          </w:p>
        </w:tc>
      </w:tr>
      <w:tr w:rsidR="006E48E4" w:rsidRPr="006E48E4" w:rsidTr="006E48E4">
        <w:trPr>
          <w:trHeight w:val="300"/>
        </w:trPr>
        <w:tc>
          <w:tcPr>
            <w:tcW w:w="119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14</w:t>
            </w:r>
          </w:p>
        </w:tc>
        <w:tc>
          <w:tcPr>
            <w:tcW w:w="998"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32</w:t>
            </w:r>
          </w:p>
        </w:tc>
        <w:tc>
          <w:tcPr>
            <w:tcW w:w="7888" w:type="dxa"/>
            <w:gridSpan w:val="5"/>
            <w:vMerge/>
            <w:tcBorders>
              <w:top w:val="nil"/>
              <w:left w:val="nil"/>
              <w:bottom w:val="nil"/>
              <w:right w:val="nil"/>
            </w:tcBorders>
            <w:vAlign w:val="center"/>
            <w:hideMark/>
          </w:tcPr>
          <w:p w:rsidR="006E48E4" w:rsidRPr="006E48E4" w:rsidRDefault="006E48E4" w:rsidP="006E48E4">
            <w:pPr>
              <w:spacing w:before="0" w:after="0" w:line="240" w:lineRule="auto"/>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vAlign w:val="center"/>
            <w:hideMark/>
          </w:tcPr>
          <w:p w:rsidR="006E48E4" w:rsidRPr="006E48E4" w:rsidRDefault="006E48E4" w:rsidP="006E48E4">
            <w:pPr>
              <w:spacing w:before="0" w:after="0" w:line="240" w:lineRule="auto"/>
              <w:rPr>
                <w:rFonts w:ascii="Times New Roman" w:eastAsia="Times New Roman" w:hAnsi="Times New Roman" w:cs="Times New Roman"/>
              </w:rPr>
            </w:pPr>
          </w:p>
        </w:tc>
      </w:tr>
      <w:tr w:rsidR="006E48E4" w:rsidRPr="006E48E4" w:rsidTr="006E48E4">
        <w:trPr>
          <w:trHeight w:val="300"/>
        </w:trPr>
        <w:tc>
          <w:tcPr>
            <w:tcW w:w="119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15</w:t>
            </w:r>
          </w:p>
        </w:tc>
        <w:tc>
          <w:tcPr>
            <w:tcW w:w="998"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37</w:t>
            </w:r>
          </w:p>
        </w:tc>
        <w:tc>
          <w:tcPr>
            <w:tcW w:w="7888" w:type="dxa"/>
            <w:gridSpan w:val="5"/>
            <w:vMerge/>
            <w:tcBorders>
              <w:top w:val="nil"/>
              <w:left w:val="nil"/>
              <w:bottom w:val="nil"/>
              <w:right w:val="nil"/>
            </w:tcBorders>
            <w:vAlign w:val="center"/>
            <w:hideMark/>
          </w:tcPr>
          <w:p w:rsidR="006E48E4" w:rsidRPr="006E48E4" w:rsidRDefault="006E48E4" w:rsidP="006E48E4">
            <w:pPr>
              <w:spacing w:before="0" w:after="0" w:line="240" w:lineRule="auto"/>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vAlign w:val="center"/>
            <w:hideMark/>
          </w:tcPr>
          <w:p w:rsidR="006E48E4" w:rsidRPr="006E48E4" w:rsidRDefault="006E48E4" w:rsidP="006E48E4">
            <w:pPr>
              <w:spacing w:before="0" w:after="0" w:line="240" w:lineRule="auto"/>
              <w:rPr>
                <w:rFonts w:ascii="Times New Roman" w:eastAsia="Times New Roman" w:hAnsi="Times New Roman" w:cs="Times New Roman"/>
              </w:rPr>
            </w:pPr>
          </w:p>
        </w:tc>
      </w:tr>
      <w:tr w:rsidR="006E48E4" w:rsidRPr="006E48E4" w:rsidTr="006E48E4">
        <w:trPr>
          <w:trHeight w:val="300"/>
        </w:trPr>
        <w:tc>
          <w:tcPr>
            <w:tcW w:w="119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16</w:t>
            </w:r>
          </w:p>
        </w:tc>
        <w:tc>
          <w:tcPr>
            <w:tcW w:w="998"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20</w:t>
            </w:r>
          </w:p>
        </w:tc>
        <w:tc>
          <w:tcPr>
            <w:tcW w:w="7888" w:type="dxa"/>
            <w:gridSpan w:val="5"/>
            <w:vMerge/>
            <w:tcBorders>
              <w:top w:val="nil"/>
              <w:left w:val="nil"/>
              <w:bottom w:val="nil"/>
              <w:right w:val="nil"/>
            </w:tcBorders>
            <w:vAlign w:val="center"/>
            <w:hideMark/>
          </w:tcPr>
          <w:p w:rsidR="006E48E4" w:rsidRPr="006E48E4" w:rsidRDefault="006E48E4" w:rsidP="006E48E4">
            <w:pPr>
              <w:spacing w:before="0" w:after="0" w:line="240" w:lineRule="auto"/>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vAlign w:val="center"/>
            <w:hideMark/>
          </w:tcPr>
          <w:p w:rsidR="006E48E4" w:rsidRPr="006E48E4" w:rsidRDefault="006E48E4" w:rsidP="006E48E4">
            <w:pPr>
              <w:spacing w:before="0" w:after="0" w:line="240" w:lineRule="auto"/>
              <w:rPr>
                <w:rFonts w:ascii="Times New Roman" w:eastAsia="Times New Roman" w:hAnsi="Times New Roman" w:cs="Times New Roman"/>
              </w:rPr>
            </w:pPr>
          </w:p>
        </w:tc>
      </w:tr>
      <w:tr w:rsidR="006E48E4" w:rsidRPr="006E48E4" w:rsidTr="006E48E4">
        <w:trPr>
          <w:trHeight w:val="300"/>
        </w:trPr>
        <w:tc>
          <w:tcPr>
            <w:tcW w:w="119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17</w:t>
            </w:r>
          </w:p>
        </w:tc>
        <w:tc>
          <w:tcPr>
            <w:tcW w:w="998"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28</w:t>
            </w:r>
          </w:p>
        </w:tc>
        <w:tc>
          <w:tcPr>
            <w:tcW w:w="7888" w:type="dxa"/>
            <w:gridSpan w:val="5"/>
            <w:vMerge/>
            <w:tcBorders>
              <w:top w:val="nil"/>
              <w:left w:val="nil"/>
              <w:bottom w:val="nil"/>
              <w:right w:val="nil"/>
            </w:tcBorders>
            <w:vAlign w:val="center"/>
            <w:hideMark/>
          </w:tcPr>
          <w:p w:rsidR="006E48E4" w:rsidRPr="006E48E4" w:rsidRDefault="006E48E4" w:rsidP="006E48E4">
            <w:pPr>
              <w:spacing w:before="0" w:after="0" w:line="240" w:lineRule="auto"/>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vAlign w:val="center"/>
            <w:hideMark/>
          </w:tcPr>
          <w:p w:rsidR="006E48E4" w:rsidRPr="006E48E4" w:rsidRDefault="006E48E4" w:rsidP="006E48E4">
            <w:pPr>
              <w:spacing w:before="0" w:after="0" w:line="240" w:lineRule="auto"/>
              <w:rPr>
                <w:rFonts w:ascii="Times New Roman" w:eastAsia="Times New Roman" w:hAnsi="Times New Roman" w:cs="Times New Roman"/>
              </w:rPr>
            </w:pPr>
          </w:p>
        </w:tc>
      </w:tr>
      <w:tr w:rsidR="006E48E4" w:rsidRPr="006E48E4" w:rsidTr="006E48E4">
        <w:trPr>
          <w:trHeight w:val="300"/>
        </w:trPr>
        <w:tc>
          <w:tcPr>
            <w:tcW w:w="119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18</w:t>
            </w:r>
          </w:p>
        </w:tc>
        <w:tc>
          <w:tcPr>
            <w:tcW w:w="998"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32</w:t>
            </w:r>
          </w:p>
        </w:tc>
        <w:tc>
          <w:tcPr>
            <w:tcW w:w="7888" w:type="dxa"/>
            <w:gridSpan w:val="5"/>
            <w:vMerge/>
            <w:tcBorders>
              <w:top w:val="nil"/>
              <w:left w:val="nil"/>
              <w:bottom w:val="nil"/>
              <w:right w:val="nil"/>
            </w:tcBorders>
            <w:vAlign w:val="center"/>
            <w:hideMark/>
          </w:tcPr>
          <w:p w:rsidR="006E48E4" w:rsidRPr="006E48E4" w:rsidRDefault="006E48E4" w:rsidP="006E48E4">
            <w:pPr>
              <w:spacing w:before="0" w:after="0" w:line="240" w:lineRule="auto"/>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vAlign w:val="center"/>
            <w:hideMark/>
          </w:tcPr>
          <w:p w:rsidR="006E48E4" w:rsidRPr="006E48E4" w:rsidRDefault="006E48E4" w:rsidP="006E48E4">
            <w:pPr>
              <w:spacing w:before="0" w:after="0" w:line="240" w:lineRule="auto"/>
              <w:rPr>
                <w:rFonts w:ascii="Times New Roman" w:eastAsia="Times New Roman" w:hAnsi="Times New Roman" w:cs="Times New Roman"/>
              </w:rPr>
            </w:pPr>
          </w:p>
        </w:tc>
      </w:tr>
      <w:tr w:rsidR="006E48E4" w:rsidRPr="006E48E4" w:rsidTr="006E48E4">
        <w:trPr>
          <w:trHeight w:val="300"/>
        </w:trPr>
        <w:tc>
          <w:tcPr>
            <w:tcW w:w="119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19</w:t>
            </w:r>
          </w:p>
        </w:tc>
        <w:tc>
          <w:tcPr>
            <w:tcW w:w="998"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r w:rsidRPr="006E48E4">
              <w:rPr>
                <w:rFonts w:ascii="Verdana" w:eastAsia="Times New Roman" w:hAnsi="Verdana" w:cs="Calibri"/>
                <w:color w:val="000000"/>
                <w:sz w:val="18"/>
                <w:szCs w:val="18"/>
              </w:rPr>
              <w:t>33</w:t>
            </w:r>
          </w:p>
        </w:tc>
        <w:tc>
          <w:tcPr>
            <w:tcW w:w="7888" w:type="dxa"/>
            <w:gridSpan w:val="5"/>
            <w:vMerge/>
            <w:tcBorders>
              <w:top w:val="nil"/>
              <w:left w:val="nil"/>
              <w:bottom w:val="nil"/>
              <w:right w:val="nil"/>
            </w:tcBorders>
            <w:vAlign w:val="center"/>
            <w:hideMark/>
          </w:tcPr>
          <w:p w:rsidR="006E48E4" w:rsidRPr="006E48E4" w:rsidRDefault="006E48E4" w:rsidP="006E48E4">
            <w:pPr>
              <w:spacing w:before="0" w:after="0" w:line="240" w:lineRule="auto"/>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jc w:val="right"/>
              <w:rPr>
                <w:rFonts w:ascii="Verdana" w:eastAsia="Times New Roman" w:hAnsi="Verdana" w:cs="Calibri"/>
                <w:color w:val="000000"/>
                <w:sz w:val="18"/>
                <w:szCs w:val="18"/>
              </w:rPr>
            </w:pPr>
          </w:p>
        </w:tc>
        <w:tc>
          <w:tcPr>
            <w:tcW w:w="976" w:type="dxa"/>
            <w:tcBorders>
              <w:top w:val="nil"/>
              <w:left w:val="nil"/>
              <w:bottom w:val="nil"/>
              <w:right w:val="nil"/>
            </w:tcBorders>
            <w:shd w:val="clear" w:color="auto" w:fill="auto"/>
            <w:noWrap/>
            <w:vAlign w:val="bottom"/>
            <w:hideMark/>
          </w:tcPr>
          <w:p w:rsidR="006E48E4" w:rsidRPr="006E48E4" w:rsidRDefault="006E48E4" w:rsidP="006E48E4">
            <w:pPr>
              <w:spacing w:before="0" w:after="0" w:line="240" w:lineRule="auto"/>
              <w:rPr>
                <w:rFonts w:ascii="Times New Roman" w:eastAsia="Times New Roman" w:hAnsi="Times New Roman" w:cs="Times New Roman"/>
              </w:rPr>
            </w:pPr>
          </w:p>
        </w:tc>
        <w:tc>
          <w:tcPr>
            <w:tcW w:w="976" w:type="dxa"/>
            <w:vAlign w:val="center"/>
            <w:hideMark/>
          </w:tcPr>
          <w:p w:rsidR="006E48E4" w:rsidRPr="006E48E4" w:rsidRDefault="006E48E4" w:rsidP="006E48E4">
            <w:pPr>
              <w:spacing w:before="0" w:after="0" w:line="240" w:lineRule="auto"/>
              <w:rPr>
                <w:rFonts w:ascii="Times New Roman" w:eastAsia="Times New Roman" w:hAnsi="Times New Roman" w:cs="Times New Roman"/>
              </w:rPr>
            </w:pPr>
          </w:p>
        </w:tc>
      </w:tr>
    </w:tbl>
    <w:p w:rsidR="00641169" w:rsidRDefault="00820695" w:rsidP="006E6EF5">
      <w:pPr>
        <w:pStyle w:val="NoSpacing"/>
        <w:jc w:val="both"/>
        <w:rPr>
          <w:rFonts w:ascii="Verdana" w:hAnsi="Verdana" w:cs="Arial"/>
        </w:rPr>
      </w:pPr>
      <w:r w:rsidRPr="00F83388">
        <w:rPr>
          <w:rFonts w:ascii="Arial" w:hAnsi="Arial" w:cs="Arial"/>
          <w:sz w:val="22"/>
          <w:szCs w:val="22"/>
        </w:rPr>
        <w:lastRenderedPageBreak/>
        <w:tab/>
      </w:r>
      <w:r w:rsidRPr="00D66B53">
        <w:rPr>
          <w:rFonts w:ascii="Verdana" w:hAnsi="Verdana" w:cs="Arial"/>
        </w:rPr>
        <w:t xml:space="preserve">The number of </w:t>
      </w:r>
      <w:r w:rsidR="00F405D1" w:rsidRPr="00D66B53">
        <w:rPr>
          <w:rFonts w:ascii="Verdana" w:hAnsi="Verdana" w:cs="Arial"/>
        </w:rPr>
        <w:t xml:space="preserve">formal </w:t>
      </w:r>
      <w:r w:rsidRPr="00D66B53">
        <w:rPr>
          <w:rFonts w:ascii="Verdana" w:hAnsi="Verdana" w:cs="Arial"/>
        </w:rPr>
        <w:t xml:space="preserve">complaints filed </w:t>
      </w:r>
      <w:r w:rsidR="00BB6858" w:rsidRPr="00D66B53">
        <w:rPr>
          <w:rFonts w:ascii="Verdana" w:hAnsi="Verdana" w:cs="Arial"/>
        </w:rPr>
        <w:t xml:space="preserve">against ISIF </w:t>
      </w:r>
      <w:r w:rsidRPr="00D66B53">
        <w:rPr>
          <w:rFonts w:ascii="Verdana" w:hAnsi="Verdana" w:cs="Arial"/>
        </w:rPr>
        <w:t xml:space="preserve">is not as </w:t>
      </w:r>
      <w:r w:rsidR="00510538" w:rsidRPr="00D66B53">
        <w:rPr>
          <w:rFonts w:ascii="Verdana" w:hAnsi="Verdana" w:cs="Arial"/>
        </w:rPr>
        <w:t>predictable</w:t>
      </w:r>
      <w:r w:rsidRPr="00D66B53">
        <w:rPr>
          <w:rFonts w:ascii="Verdana" w:hAnsi="Verdana" w:cs="Arial"/>
        </w:rPr>
        <w:t xml:space="preserve"> as the NOIs, </w:t>
      </w:r>
      <w:r w:rsidR="007B0B76" w:rsidRPr="00D66B53">
        <w:rPr>
          <w:rFonts w:ascii="Verdana" w:hAnsi="Verdana" w:cs="Arial"/>
        </w:rPr>
        <w:t>because</w:t>
      </w:r>
      <w:r w:rsidRPr="00D66B53">
        <w:rPr>
          <w:rFonts w:ascii="Verdana" w:hAnsi="Verdana" w:cs="Arial"/>
        </w:rPr>
        <w:t xml:space="preserve"> a complaint does not </w:t>
      </w:r>
      <w:r w:rsidR="003F1F1F" w:rsidRPr="00D66B53">
        <w:rPr>
          <w:rFonts w:ascii="Verdana" w:hAnsi="Verdana" w:cs="Arial"/>
        </w:rPr>
        <w:t>have to be filed within any certain time period following a denial of the NOI.</w:t>
      </w:r>
      <w:r w:rsidRPr="00D66B53">
        <w:rPr>
          <w:rFonts w:ascii="Verdana" w:hAnsi="Verdana" w:cs="Arial"/>
        </w:rPr>
        <w:t xml:space="preserve">  </w:t>
      </w:r>
      <w:r w:rsidR="00591CEF" w:rsidRPr="00D66B53">
        <w:rPr>
          <w:rFonts w:ascii="Verdana" w:hAnsi="Verdana" w:cs="Arial"/>
        </w:rPr>
        <w:t>Thus</w:t>
      </w:r>
      <w:r w:rsidR="007B0B76" w:rsidRPr="00D66B53">
        <w:rPr>
          <w:rFonts w:ascii="Verdana" w:hAnsi="Verdana" w:cs="Arial"/>
        </w:rPr>
        <w:t>,</w:t>
      </w:r>
      <w:r w:rsidRPr="00D66B53">
        <w:rPr>
          <w:rFonts w:ascii="Verdana" w:hAnsi="Verdana" w:cs="Arial"/>
        </w:rPr>
        <w:t xml:space="preserve"> d</w:t>
      </w:r>
      <w:r w:rsidR="00C17D70" w:rsidRPr="00D66B53">
        <w:rPr>
          <w:rFonts w:ascii="Verdana" w:hAnsi="Verdana" w:cs="Arial"/>
        </w:rPr>
        <w:t>uring th</w:t>
      </w:r>
      <w:r w:rsidR="00510538" w:rsidRPr="00D66B53">
        <w:rPr>
          <w:rFonts w:ascii="Verdana" w:hAnsi="Verdana" w:cs="Arial"/>
        </w:rPr>
        <w:t xml:space="preserve">e past few years, </w:t>
      </w:r>
      <w:r w:rsidR="00C17D70" w:rsidRPr="00D66B53">
        <w:rPr>
          <w:rFonts w:ascii="Verdana" w:hAnsi="Verdana" w:cs="Arial"/>
        </w:rPr>
        <w:t xml:space="preserve">the ISIF </w:t>
      </w:r>
      <w:r w:rsidR="004C6045" w:rsidRPr="00D66B53">
        <w:rPr>
          <w:rFonts w:ascii="Verdana" w:hAnsi="Verdana" w:cs="Arial"/>
        </w:rPr>
        <w:t xml:space="preserve">has experienced a </w:t>
      </w:r>
      <w:r w:rsidR="00F405D1" w:rsidRPr="00D66B53">
        <w:rPr>
          <w:rFonts w:ascii="Verdana" w:hAnsi="Verdana" w:cs="Arial"/>
        </w:rPr>
        <w:t xml:space="preserve">“teeter-totter” affect in the </w:t>
      </w:r>
      <w:r w:rsidR="00F61F2F" w:rsidRPr="00D66B53">
        <w:rPr>
          <w:rFonts w:ascii="Verdana" w:hAnsi="Verdana" w:cs="Arial"/>
        </w:rPr>
        <w:t xml:space="preserve">year-to-year </w:t>
      </w:r>
      <w:r w:rsidR="00F405D1" w:rsidRPr="00D66B53">
        <w:rPr>
          <w:rFonts w:ascii="Verdana" w:hAnsi="Verdana" w:cs="Arial"/>
        </w:rPr>
        <w:t xml:space="preserve">number of complaints </w:t>
      </w:r>
      <w:r w:rsidR="00C17D70" w:rsidRPr="00D66B53">
        <w:rPr>
          <w:rFonts w:ascii="Verdana" w:hAnsi="Verdana" w:cs="Arial"/>
        </w:rPr>
        <w:t xml:space="preserve">filed </w:t>
      </w:r>
      <w:r w:rsidR="00F61F2F" w:rsidRPr="00D66B53">
        <w:rPr>
          <w:rFonts w:ascii="Verdana" w:hAnsi="Verdana" w:cs="Arial"/>
        </w:rPr>
        <w:t>against it.</w:t>
      </w:r>
      <w:r w:rsidR="00F405D1" w:rsidRPr="00D66B53">
        <w:rPr>
          <w:rFonts w:ascii="Verdana" w:hAnsi="Verdana" w:cs="Arial"/>
        </w:rPr>
        <w:t xml:space="preserve">  </w:t>
      </w:r>
      <w:r w:rsidR="00107554" w:rsidRPr="00D66B53">
        <w:rPr>
          <w:rFonts w:ascii="Verdana" w:hAnsi="Verdana" w:cs="Arial"/>
        </w:rPr>
        <w:t>However, a</w:t>
      </w:r>
      <w:r w:rsidR="00B2339F">
        <w:rPr>
          <w:rFonts w:ascii="Verdana" w:hAnsi="Verdana" w:cs="Arial"/>
        </w:rPr>
        <w:t xml:space="preserve"> </w:t>
      </w:r>
      <w:r w:rsidR="00F14D97">
        <w:rPr>
          <w:rFonts w:ascii="Verdana" w:hAnsi="Verdana" w:cs="Arial"/>
        </w:rPr>
        <w:t>minimal</w:t>
      </w:r>
      <w:r w:rsidR="00B2339F">
        <w:rPr>
          <w:rFonts w:ascii="Verdana" w:hAnsi="Verdana" w:cs="Arial"/>
        </w:rPr>
        <w:t xml:space="preserve"> </w:t>
      </w:r>
      <w:r w:rsidR="006E48E4">
        <w:rPr>
          <w:rFonts w:ascii="Verdana" w:hAnsi="Verdana" w:cs="Arial"/>
        </w:rPr>
        <w:t>increase</w:t>
      </w:r>
      <w:r w:rsidR="00B2339F">
        <w:rPr>
          <w:rFonts w:ascii="Verdana" w:hAnsi="Verdana" w:cs="Arial"/>
        </w:rPr>
        <w:t xml:space="preserve"> in</w:t>
      </w:r>
      <w:r w:rsidR="00107554" w:rsidRPr="00D66B53">
        <w:rPr>
          <w:rFonts w:ascii="Verdana" w:hAnsi="Verdana" w:cs="Arial"/>
        </w:rPr>
        <w:t xml:space="preserve"> filings took place l</w:t>
      </w:r>
      <w:r w:rsidR="00724676" w:rsidRPr="00D66B53">
        <w:rPr>
          <w:rFonts w:ascii="Verdana" w:hAnsi="Verdana" w:cs="Arial"/>
        </w:rPr>
        <w:t xml:space="preserve">ast </w:t>
      </w:r>
      <w:r w:rsidR="00F405D1" w:rsidRPr="00D66B53">
        <w:rPr>
          <w:rFonts w:ascii="Verdana" w:hAnsi="Verdana" w:cs="Arial"/>
        </w:rPr>
        <w:t xml:space="preserve">fiscal </w:t>
      </w:r>
      <w:r w:rsidR="00724676" w:rsidRPr="00D66B53">
        <w:rPr>
          <w:rFonts w:ascii="Verdana" w:hAnsi="Verdana" w:cs="Arial"/>
        </w:rPr>
        <w:t>year</w:t>
      </w:r>
      <w:r w:rsidR="00107554" w:rsidRPr="00D66B53">
        <w:rPr>
          <w:rFonts w:ascii="Verdana" w:hAnsi="Verdana" w:cs="Arial"/>
        </w:rPr>
        <w:t xml:space="preserve"> as the </w:t>
      </w:r>
      <w:r w:rsidR="006E48E4">
        <w:rPr>
          <w:rFonts w:ascii="Verdana" w:hAnsi="Verdana" w:cs="Arial"/>
        </w:rPr>
        <w:t>above</w:t>
      </w:r>
      <w:r w:rsidR="001E4E96">
        <w:rPr>
          <w:rFonts w:ascii="Verdana" w:hAnsi="Verdana" w:cs="Arial"/>
        </w:rPr>
        <w:t xml:space="preserve"> </w:t>
      </w:r>
      <w:r w:rsidR="00107554" w:rsidRPr="00D66B53">
        <w:rPr>
          <w:rFonts w:ascii="Verdana" w:hAnsi="Verdana" w:cs="Arial"/>
        </w:rPr>
        <w:t>chart indicates.</w:t>
      </w:r>
      <w:r w:rsidR="00724676" w:rsidRPr="00D66B53">
        <w:rPr>
          <w:rFonts w:ascii="Verdana" w:hAnsi="Verdana" w:cs="Arial"/>
        </w:rPr>
        <w:t xml:space="preserve"> </w:t>
      </w:r>
      <w:r w:rsidR="00107554" w:rsidRPr="00D66B53">
        <w:rPr>
          <w:rFonts w:ascii="Verdana" w:hAnsi="Verdana" w:cs="Arial"/>
        </w:rPr>
        <w:t xml:space="preserve"> </w:t>
      </w:r>
      <w:r w:rsidR="008D1BFE" w:rsidRPr="00D66B53">
        <w:rPr>
          <w:rFonts w:ascii="Verdana" w:hAnsi="Verdana" w:cs="Arial"/>
        </w:rPr>
        <w:t xml:space="preserve">While this may not </w:t>
      </w:r>
      <w:r w:rsidR="00F61F2F" w:rsidRPr="00D66B53">
        <w:rPr>
          <w:rFonts w:ascii="Verdana" w:hAnsi="Verdana" w:cs="Arial"/>
        </w:rPr>
        <w:t>amount to</w:t>
      </w:r>
      <w:r w:rsidR="008D1BFE" w:rsidRPr="00D66B53">
        <w:rPr>
          <w:rFonts w:ascii="Verdana" w:hAnsi="Verdana" w:cs="Arial"/>
        </w:rPr>
        <w:t xml:space="preserve"> a trend, it </w:t>
      </w:r>
      <w:r w:rsidR="00484BC3">
        <w:rPr>
          <w:rFonts w:ascii="Verdana" w:hAnsi="Verdana" w:cs="Arial"/>
        </w:rPr>
        <w:t>offers some encouragement that the filings may be stabilizing.</w:t>
      </w:r>
    </w:p>
    <w:p w:rsidR="00820695" w:rsidRPr="006D6A2E" w:rsidRDefault="00E73244" w:rsidP="006D6A2E">
      <w:pPr>
        <w:pStyle w:val="NoSpacing"/>
        <w:ind w:firstLine="720"/>
        <w:jc w:val="both"/>
        <w:rPr>
          <w:rFonts w:ascii="Verdana" w:hAnsi="Verdana" w:cs="Arial"/>
        </w:rPr>
      </w:pPr>
      <w:r>
        <w:rPr>
          <w:rFonts w:ascii="Verdana" w:hAnsi="Verdana" w:cs="Arial"/>
        </w:rPr>
        <w:t>Even with filings somewhat stable,</w:t>
      </w:r>
      <w:r w:rsidR="008D1BFE" w:rsidRPr="00D66B53">
        <w:rPr>
          <w:rFonts w:ascii="Verdana" w:hAnsi="Verdana" w:cs="Arial"/>
        </w:rPr>
        <w:t xml:space="preserve"> ISIF has </w:t>
      </w:r>
      <w:r w:rsidR="009B1702">
        <w:rPr>
          <w:rFonts w:ascii="Verdana" w:hAnsi="Verdana" w:cs="Arial"/>
        </w:rPr>
        <w:t>had</w:t>
      </w:r>
      <w:r w:rsidR="008D1BFE" w:rsidRPr="00D66B53">
        <w:rPr>
          <w:rFonts w:ascii="Verdana" w:hAnsi="Verdana" w:cs="Arial"/>
        </w:rPr>
        <w:t xml:space="preserve"> a</w:t>
      </w:r>
      <w:r w:rsidR="001E4E96">
        <w:rPr>
          <w:rFonts w:ascii="Verdana" w:hAnsi="Verdana" w:cs="Arial"/>
        </w:rPr>
        <w:t xml:space="preserve"> greater</w:t>
      </w:r>
      <w:r w:rsidR="00F60F35" w:rsidRPr="00D66B53">
        <w:rPr>
          <w:rFonts w:ascii="Verdana" w:hAnsi="Verdana" w:cs="Arial"/>
        </w:rPr>
        <w:t xml:space="preserve"> challenge in the last few years in </w:t>
      </w:r>
      <w:r w:rsidR="0035622E" w:rsidRPr="00D66B53">
        <w:rPr>
          <w:rFonts w:ascii="Verdana" w:hAnsi="Verdana" w:cs="Arial"/>
        </w:rPr>
        <w:t xml:space="preserve">controlling </w:t>
      </w:r>
      <w:r w:rsidR="00F60F35" w:rsidRPr="00D66B53">
        <w:rPr>
          <w:rFonts w:ascii="Verdana" w:hAnsi="Verdana" w:cs="Arial"/>
        </w:rPr>
        <w:t xml:space="preserve">the </w:t>
      </w:r>
      <w:r w:rsidR="0035622E" w:rsidRPr="00D66B53">
        <w:rPr>
          <w:rFonts w:ascii="Verdana" w:hAnsi="Verdana" w:cs="Arial"/>
        </w:rPr>
        <w:t xml:space="preserve">rising </w:t>
      </w:r>
      <w:r w:rsidR="00F60F35" w:rsidRPr="00D66B53">
        <w:rPr>
          <w:rFonts w:ascii="Verdana" w:hAnsi="Verdana" w:cs="Arial"/>
        </w:rPr>
        <w:t xml:space="preserve">cost of </w:t>
      </w:r>
      <w:r w:rsidR="00724676" w:rsidRPr="00D66B53">
        <w:rPr>
          <w:rFonts w:ascii="Verdana" w:hAnsi="Verdana" w:cs="Arial"/>
        </w:rPr>
        <w:t>benefits awarded to injured workers</w:t>
      </w:r>
      <w:r w:rsidR="00F405D1" w:rsidRPr="00D66B53">
        <w:rPr>
          <w:rFonts w:ascii="Verdana" w:hAnsi="Verdana" w:cs="Arial"/>
        </w:rPr>
        <w:t>.</w:t>
      </w:r>
      <w:r w:rsidR="00F60F35" w:rsidRPr="00D66B53">
        <w:rPr>
          <w:rFonts w:ascii="Verdana" w:hAnsi="Verdana" w:cs="Arial"/>
        </w:rPr>
        <w:t xml:space="preserve">  </w:t>
      </w:r>
      <w:r w:rsidR="00DC5E52" w:rsidRPr="00D66B53">
        <w:rPr>
          <w:rFonts w:ascii="Verdana" w:hAnsi="Verdana" w:cs="Arial"/>
        </w:rPr>
        <w:t>W</w:t>
      </w:r>
      <w:r w:rsidR="00577EA9" w:rsidRPr="00D66B53">
        <w:rPr>
          <w:rFonts w:ascii="Verdana" w:hAnsi="Verdana" w:cs="Arial"/>
        </w:rPr>
        <w:t>ith the drastically low unemployment figures</w:t>
      </w:r>
      <w:r w:rsidR="00F956C7" w:rsidRPr="00D66B53">
        <w:rPr>
          <w:rFonts w:ascii="Verdana" w:hAnsi="Verdana" w:cs="Arial"/>
        </w:rPr>
        <w:t xml:space="preserve"> </w:t>
      </w:r>
      <w:r w:rsidR="00DC5E52" w:rsidRPr="00D66B53">
        <w:rPr>
          <w:rFonts w:ascii="Verdana" w:hAnsi="Verdana" w:cs="Arial"/>
        </w:rPr>
        <w:t>in</w:t>
      </w:r>
      <w:r w:rsidR="00F956C7" w:rsidRPr="00D66B53">
        <w:rPr>
          <w:rFonts w:ascii="Verdana" w:hAnsi="Verdana" w:cs="Arial"/>
        </w:rPr>
        <w:t xml:space="preserve"> Idaho</w:t>
      </w:r>
      <w:r w:rsidR="00DC5E52" w:rsidRPr="00D66B53">
        <w:rPr>
          <w:rFonts w:ascii="Verdana" w:hAnsi="Verdana" w:cs="Arial"/>
        </w:rPr>
        <w:t>,</w:t>
      </w:r>
      <w:r w:rsidR="00F956C7" w:rsidRPr="00D66B53">
        <w:rPr>
          <w:rFonts w:ascii="Verdana" w:hAnsi="Verdana" w:cs="Arial"/>
        </w:rPr>
        <w:t xml:space="preserve"> this </w:t>
      </w:r>
      <w:r>
        <w:rPr>
          <w:rFonts w:ascii="Verdana" w:hAnsi="Verdana" w:cs="Arial"/>
        </w:rPr>
        <w:t xml:space="preserve">situation </w:t>
      </w:r>
      <w:r w:rsidR="00F956C7" w:rsidRPr="00D66B53">
        <w:rPr>
          <w:rFonts w:ascii="Verdana" w:hAnsi="Verdana" w:cs="Arial"/>
        </w:rPr>
        <w:t xml:space="preserve">has </w:t>
      </w:r>
      <w:r w:rsidR="00F14D97">
        <w:rPr>
          <w:rFonts w:ascii="Verdana" w:hAnsi="Verdana" w:cs="Arial"/>
        </w:rPr>
        <w:t>actually reduced the</w:t>
      </w:r>
      <w:r w:rsidR="00FC22A2">
        <w:rPr>
          <w:rFonts w:ascii="Verdana" w:hAnsi="Verdana" w:cs="Arial"/>
        </w:rPr>
        <w:t xml:space="preserve"> opportunity for </w:t>
      </w:r>
      <w:r w:rsidR="00F956C7" w:rsidRPr="00D66B53">
        <w:rPr>
          <w:rFonts w:ascii="Verdana" w:hAnsi="Verdana" w:cs="Arial"/>
        </w:rPr>
        <w:t xml:space="preserve">injured workers </w:t>
      </w:r>
      <w:r w:rsidR="00FC22A2">
        <w:rPr>
          <w:rFonts w:ascii="Verdana" w:hAnsi="Verdana" w:cs="Arial"/>
        </w:rPr>
        <w:t xml:space="preserve">to </w:t>
      </w:r>
      <w:r w:rsidR="00F60F35" w:rsidRPr="00D66B53">
        <w:rPr>
          <w:rFonts w:ascii="Verdana" w:hAnsi="Verdana" w:cs="Arial"/>
        </w:rPr>
        <w:t xml:space="preserve">reenter the </w:t>
      </w:r>
      <w:r w:rsidR="00FC22A2">
        <w:rPr>
          <w:rFonts w:ascii="Verdana" w:hAnsi="Verdana" w:cs="Arial"/>
        </w:rPr>
        <w:t>active work force.</w:t>
      </w:r>
      <w:r w:rsidR="00F956C7" w:rsidRPr="00D66B53">
        <w:rPr>
          <w:rFonts w:ascii="Verdana" w:hAnsi="Verdana" w:cs="Arial"/>
        </w:rPr>
        <w:t xml:space="preserve"> </w:t>
      </w:r>
      <w:r w:rsidR="00820695" w:rsidRPr="00D66B53">
        <w:rPr>
          <w:rFonts w:ascii="Verdana" w:hAnsi="Verdana" w:cs="Arial"/>
        </w:rPr>
        <w:t xml:space="preserve">Thus, it </w:t>
      </w:r>
      <w:r w:rsidR="00F956C7" w:rsidRPr="00D66B53">
        <w:rPr>
          <w:rFonts w:ascii="Verdana" w:hAnsi="Verdana" w:cs="Arial"/>
        </w:rPr>
        <w:t>is still</w:t>
      </w:r>
      <w:r w:rsidR="00820695" w:rsidRPr="00D66B53">
        <w:rPr>
          <w:rFonts w:ascii="Verdana" w:hAnsi="Verdana" w:cs="Arial"/>
        </w:rPr>
        <w:t xml:space="preserve"> more difficult for the ISIF to find an actual job</w:t>
      </w:r>
      <w:r w:rsidR="002B164F" w:rsidRPr="00D66B53">
        <w:rPr>
          <w:rFonts w:ascii="Verdana" w:hAnsi="Verdana" w:cs="Arial"/>
        </w:rPr>
        <w:t>, which is</w:t>
      </w:r>
      <w:r w:rsidR="00820695" w:rsidRPr="00D66B53">
        <w:rPr>
          <w:rFonts w:ascii="Verdana" w:hAnsi="Verdana" w:cs="Arial"/>
        </w:rPr>
        <w:t xml:space="preserve"> open and available</w:t>
      </w:r>
      <w:r w:rsidR="002B164F" w:rsidRPr="00D66B53">
        <w:rPr>
          <w:rFonts w:ascii="Verdana" w:hAnsi="Verdana" w:cs="Arial"/>
        </w:rPr>
        <w:t>,</w:t>
      </w:r>
      <w:r w:rsidR="00820695" w:rsidRPr="00D66B53">
        <w:rPr>
          <w:rFonts w:ascii="Verdana" w:hAnsi="Verdana" w:cs="Arial"/>
        </w:rPr>
        <w:t xml:space="preserve"> that fits the physical restrictions of the injured worker.</w:t>
      </w:r>
      <w:r w:rsidR="00F961E1" w:rsidRPr="00D66B53">
        <w:rPr>
          <w:rFonts w:ascii="Verdana" w:hAnsi="Verdana" w:cs="Arial"/>
        </w:rPr>
        <w:t xml:space="preserve">  If such employment cannot be specifically located within the worker’s geographic area, ISIF is faced with paying lifetime </w:t>
      </w:r>
      <w:r w:rsidR="00FC22A2">
        <w:rPr>
          <w:rFonts w:ascii="Verdana" w:hAnsi="Verdana" w:cs="Arial"/>
        </w:rPr>
        <w:t>disability</w:t>
      </w:r>
      <w:r w:rsidR="00F961E1" w:rsidRPr="00D66B53">
        <w:rPr>
          <w:rFonts w:ascii="Verdana" w:hAnsi="Verdana" w:cs="Arial"/>
        </w:rPr>
        <w:t xml:space="preserve"> benefits to that worker.</w:t>
      </w:r>
      <w:r w:rsidR="004C6045" w:rsidRPr="00D66B53">
        <w:rPr>
          <w:rFonts w:ascii="Verdana" w:hAnsi="Verdana" w:cs="Arial"/>
        </w:rPr>
        <w:t xml:space="preserve"> </w:t>
      </w:r>
      <w:r w:rsidR="00F60F35" w:rsidRPr="00D66B53">
        <w:rPr>
          <w:rFonts w:ascii="Verdana" w:hAnsi="Verdana" w:cs="Arial"/>
        </w:rPr>
        <w:t xml:space="preserve"> </w:t>
      </w:r>
    </w:p>
    <w:p w:rsidR="001C1469" w:rsidRDefault="00820695" w:rsidP="00BF3FC4">
      <w:pPr>
        <w:pStyle w:val="NoSpacing"/>
        <w:jc w:val="both"/>
        <w:rPr>
          <w:rFonts w:ascii="Verdana" w:hAnsi="Verdana" w:cs="Arial"/>
        </w:rPr>
      </w:pPr>
      <w:r w:rsidRPr="00F83388">
        <w:rPr>
          <w:rFonts w:ascii="Arial" w:hAnsi="Arial" w:cs="Arial"/>
          <w:sz w:val="22"/>
          <w:szCs w:val="22"/>
        </w:rPr>
        <w:tab/>
      </w:r>
      <w:r w:rsidR="00FC22A2">
        <w:rPr>
          <w:rFonts w:ascii="Arial" w:hAnsi="Arial" w:cs="Arial"/>
          <w:sz w:val="22"/>
          <w:szCs w:val="22"/>
        </w:rPr>
        <w:t>B</w:t>
      </w:r>
      <w:r w:rsidR="001E4E96">
        <w:rPr>
          <w:rFonts w:ascii="Verdana" w:hAnsi="Verdana" w:cs="Arial"/>
        </w:rPr>
        <w:t>enefits</w:t>
      </w:r>
      <w:r w:rsidR="00F60F35" w:rsidRPr="005C220C">
        <w:rPr>
          <w:rFonts w:ascii="Verdana" w:hAnsi="Verdana" w:cs="Arial"/>
        </w:rPr>
        <w:t xml:space="preserve"> at the federal level have </w:t>
      </w:r>
      <w:r w:rsidR="00FC22A2">
        <w:rPr>
          <w:rFonts w:ascii="Verdana" w:hAnsi="Verdana" w:cs="Arial"/>
        </w:rPr>
        <w:t>become</w:t>
      </w:r>
      <w:r w:rsidR="00F60F35" w:rsidRPr="005C220C">
        <w:rPr>
          <w:rFonts w:ascii="Verdana" w:hAnsi="Verdana" w:cs="Arial"/>
        </w:rPr>
        <w:t xml:space="preserve"> an attractive </w:t>
      </w:r>
      <w:r w:rsidR="00FC22A2">
        <w:rPr>
          <w:rFonts w:ascii="Verdana" w:hAnsi="Verdana" w:cs="Arial"/>
        </w:rPr>
        <w:t>source of income</w:t>
      </w:r>
      <w:r w:rsidR="004C6045" w:rsidRPr="005C220C">
        <w:rPr>
          <w:rFonts w:ascii="Verdana" w:hAnsi="Verdana" w:cs="Arial"/>
        </w:rPr>
        <w:t>, in lieu of continued employment,</w:t>
      </w:r>
      <w:r w:rsidR="00F60F35" w:rsidRPr="005C220C">
        <w:rPr>
          <w:rFonts w:ascii="Verdana" w:hAnsi="Verdana" w:cs="Arial"/>
        </w:rPr>
        <w:t xml:space="preserve"> for injured workers</w:t>
      </w:r>
      <w:r w:rsidR="00FC22A2">
        <w:rPr>
          <w:rFonts w:ascii="Verdana" w:hAnsi="Verdana" w:cs="Arial"/>
        </w:rPr>
        <w:t xml:space="preserve"> by which</w:t>
      </w:r>
      <w:r w:rsidR="00F60F35" w:rsidRPr="005C220C">
        <w:rPr>
          <w:rFonts w:ascii="Verdana" w:hAnsi="Verdana" w:cs="Arial"/>
        </w:rPr>
        <w:t xml:space="preserve"> </w:t>
      </w:r>
      <w:r w:rsidR="00FC22A2">
        <w:rPr>
          <w:rFonts w:ascii="Verdana" w:hAnsi="Verdana" w:cs="Arial"/>
        </w:rPr>
        <w:t>they can</w:t>
      </w:r>
      <w:r w:rsidR="00F60F35" w:rsidRPr="005C220C">
        <w:rPr>
          <w:rFonts w:ascii="Verdana" w:hAnsi="Verdana" w:cs="Arial"/>
        </w:rPr>
        <w:t xml:space="preserve"> receive long-term disability benefits </w:t>
      </w:r>
      <w:r w:rsidR="004C6045" w:rsidRPr="005C220C">
        <w:rPr>
          <w:rFonts w:ascii="Verdana" w:hAnsi="Verdana" w:cs="Arial"/>
        </w:rPr>
        <w:t>with relative ease</w:t>
      </w:r>
      <w:r w:rsidR="001E4E96">
        <w:rPr>
          <w:rFonts w:ascii="Verdana" w:hAnsi="Verdana" w:cs="Arial"/>
        </w:rPr>
        <w:t>.</w:t>
      </w:r>
      <w:r w:rsidR="00F60F35" w:rsidRPr="005C220C">
        <w:rPr>
          <w:rFonts w:ascii="Verdana" w:hAnsi="Verdana" w:cs="Arial"/>
        </w:rPr>
        <w:t xml:space="preserve">  Thus, injured workers have </w:t>
      </w:r>
      <w:r w:rsidRPr="005C220C">
        <w:rPr>
          <w:rFonts w:ascii="Verdana" w:hAnsi="Verdana" w:cs="Arial"/>
        </w:rPr>
        <w:t xml:space="preserve">in many instances </w:t>
      </w:r>
      <w:r w:rsidR="00FE6959" w:rsidRPr="005C220C">
        <w:rPr>
          <w:rFonts w:ascii="Verdana" w:hAnsi="Verdana" w:cs="Arial"/>
        </w:rPr>
        <w:t>de</w:t>
      </w:r>
      <w:r w:rsidR="001E4E96">
        <w:rPr>
          <w:rFonts w:ascii="Verdana" w:hAnsi="Verdana" w:cs="Arial"/>
        </w:rPr>
        <w:t>cided</w:t>
      </w:r>
      <w:r w:rsidR="00FE6959" w:rsidRPr="005C220C">
        <w:rPr>
          <w:rFonts w:ascii="Verdana" w:hAnsi="Verdana" w:cs="Arial"/>
        </w:rPr>
        <w:t xml:space="preserve"> to </w:t>
      </w:r>
      <w:r w:rsidR="00F60F35" w:rsidRPr="005C220C">
        <w:rPr>
          <w:rFonts w:ascii="Verdana" w:hAnsi="Verdana" w:cs="Arial"/>
        </w:rPr>
        <w:t xml:space="preserve">forego regular employment </w:t>
      </w:r>
      <w:r w:rsidR="004C6045" w:rsidRPr="005C220C">
        <w:rPr>
          <w:rFonts w:ascii="Verdana" w:hAnsi="Verdana" w:cs="Arial"/>
        </w:rPr>
        <w:t>or</w:t>
      </w:r>
      <w:r w:rsidR="00EE7CDD" w:rsidRPr="005C220C">
        <w:rPr>
          <w:rFonts w:ascii="Verdana" w:hAnsi="Verdana" w:cs="Arial"/>
        </w:rPr>
        <w:t xml:space="preserve"> part-time employment.</w:t>
      </w:r>
      <w:r w:rsidR="00F60F35" w:rsidRPr="005C220C">
        <w:rPr>
          <w:rFonts w:ascii="Verdana" w:hAnsi="Verdana" w:cs="Arial"/>
        </w:rPr>
        <w:t xml:space="preserve">  Instead, many injured workers leave the work force and </w:t>
      </w:r>
      <w:r w:rsidR="00EE7CDD" w:rsidRPr="005C220C">
        <w:rPr>
          <w:rFonts w:ascii="Verdana" w:hAnsi="Verdana" w:cs="Arial"/>
        </w:rPr>
        <w:t>obtain</w:t>
      </w:r>
      <w:r w:rsidR="00F60F35" w:rsidRPr="005C220C">
        <w:rPr>
          <w:rFonts w:ascii="Verdana" w:hAnsi="Verdana" w:cs="Arial"/>
        </w:rPr>
        <w:t xml:space="preserve"> </w:t>
      </w:r>
      <w:r w:rsidR="001C1469">
        <w:rPr>
          <w:rFonts w:ascii="Verdana" w:hAnsi="Verdana" w:cs="Arial"/>
        </w:rPr>
        <w:t xml:space="preserve">Social Security </w:t>
      </w:r>
      <w:r w:rsidR="00FC22A2">
        <w:rPr>
          <w:rFonts w:ascii="Verdana" w:hAnsi="Verdana" w:cs="Arial"/>
        </w:rPr>
        <w:t xml:space="preserve">Disability </w:t>
      </w:r>
      <w:r w:rsidR="00F60F35" w:rsidRPr="005C220C">
        <w:rPr>
          <w:rFonts w:ascii="Verdana" w:hAnsi="Verdana" w:cs="Arial"/>
        </w:rPr>
        <w:t>benefits,</w:t>
      </w:r>
      <w:r w:rsidR="004C6045" w:rsidRPr="005C220C">
        <w:rPr>
          <w:rFonts w:ascii="Verdana" w:hAnsi="Verdana" w:cs="Arial"/>
        </w:rPr>
        <w:t xml:space="preserve"> even if those benefits are less than </w:t>
      </w:r>
      <w:r w:rsidR="00EE7CDD" w:rsidRPr="005C220C">
        <w:rPr>
          <w:rFonts w:ascii="Verdana" w:hAnsi="Verdana" w:cs="Arial"/>
        </w:rPr>
        <w:t>working an actual job</w:t>
      </w:r>
      <w:r w:rsidR="004C6045" w:rsidRPr="005C220C">
        <w:rPr>
          <w:rFonts w:ascii="Verdana" w:hAnsi="Verdana" w:cs="Arial"/>
        </w:rPr>
        <w:t>.</w:t>
      </w:r>
      <w:r w:rsidR="00F60F35" w:rsidRPr="005C220C">
        <w:rPr>
          <w:rFonts w:ascii="Verdana" w:hAnsi="Verdana" w:cs="Arial"/>
        </w:rPr>
        <w:t xml:space="preserve"> </w:t>
      </w:r>
      <w:r w:rsidR="004C6045" w:rsidRPr="005C220C">
        <w:rPr>
          <w:rFonts w:ascii="Verdana" w:hAnsi="Verdana" w:cs="Arial"/>
        </w:rPr>
        <w:t xml:space="preserve"> </w:t>
      </w:r>
      <w:r w:rsidR="00A30D45" w:rsidRPr="005C220C">
        <w:rPr>
          <w:rFonts w:ascii="Verdana" w:hAnsi="Verdana" w:cs="Arial"/>
        </w:rPr>
        <w:t>When these benefits run out</w:t>
      </w:r>
      <w:r w:rsidR="001C1469">
        <w:rPr>
          <w:rFonts w:ascii="Verdana" w:hAnsi="Verdana" w:cs="Arial"/>
        </w:rPr>
        <w:t xml:space="preserve"> at full retirement age</w:t>
      </w:r>
      <w:r w:rsidR="00A30D45" w:rsidRPr="005C220C">
        <w:rPr>
          <w:rFonts w:ascii="Verdana" w:hAnsi="Verdana" w:cs="Arial"/>
        </w:rPr>
        <w:t>,</w:t>
      </w:r>
      <w:r w:rsidR="00884A2A" w:rsidRPr="005C220C">
        <w:rPr>
          <w:rFonts w:ascii="Verdana" w:hAnsi="Verdana" w:cs="Arial"/>
        </w:rPr>
        <w:t xml:space="preserve"> </w:t>
      </w:r>
      <w:r w:rsidR="001C1469">
        <w:rPr>
          <w:rFonts w:ascii="Verdana" w:hAnsi="Verdana" w:cs="Arial"/>
        </w:rPr>
        <w:t>th</w:t>
      </w:r>
      <w:r w:rsidR="007749C0">
        <w:rPr>
          <w:rFonts w:ascii="Verdana" w:hAnsi="Verdana" w:cs="Arial"/>
        </w:rPr>
        <w:t>ese</w:t>
      </w:r>
      <w:r w:rsidR="00154DD5">
        <w:rPr>
          <w:rFonts w:ascii="Verdana" w:hAnsi="Verdana" w:cs="Arial"/>
        </w:rPr>
        <w:t xml:space="preserve"> former</w:t>
      </w:r>
      <w:r w:rsidR="001C1469">
        <w:rPr>
          <w:rFonts w:ascii="Verdana" w:hAnsi="Verdana" w:cs="Arial"/>
        </w:rPr>
        <w:t xml:space="preserve"> </w:t>
      </w:r>
      <w:r w:rsidR="00D52355" w:rsidRPr="005C220C">
        <w:rPr>
          <w:rFonts w:ascii="Verdana" w:hAnsi="Verdana" w:cs="Arial"/>
        </w:rPr>
        <w:t xml:space="preserve">workers </w:t>
      </w:r>
      <w:r w:rsidR="00F60F35" w:rsidRPr="005C220C">
        <w:rPr>
          <w:rFonts w:ascii="Verdana" w:hAnsi="Verdana" w:cs="Arial"/>
        </w:rPr>
        <w:t xml:space="preserve">then apply to ISIF for </w:t>
      </w:r>
      <w:r w:rsidR="00884A2A" w:rsidRPr="005C220C">
        <w:rPr>
          <w:rFonts w:ascii="Verdana" w:hAnsi="Verdana" w:cs="Arial"/>
        </w:rPr>
        <w:t xml:space="preserve">lifetime </w:t>
      </w:r>
      <w:r w:rsidR="00F961E1" w:rsidRPr="005C220C">
        <w:rPr>
          <w:rFonts w:ascii="Verdana" w:hAnsi="Verdana" w:cs="Arial"/>
        </w:rPr>
        <w:t>benefits</w:t>
      </w:r>
      <w:r w:rsidR="00884A2A" w:rsidRPr="005C220C">
        <w:rPr>
          <w:rFonts w:ascii="Verdana" w:hAnsi="Verdana" w:cs="Arial"/>
        </w:rPr>
        <w:t xml:space="preserve">.  </w:t>
      </w:r>
    </w:p>
    <w:p w:rsidR="00F60F35" w:rsidRPr="005C220C" w:rsidRDefault="00820695" w:rsidP="00BF3FC4">
      <w:pPr>
        <w:pStyle w:val="NoSpacing"/>
        <w:jc w:val="both"/>
        <w:rPr>
          <w:rFonts w:ascii="Verdana" w:hAnsi="Verdana" w:cs="Arial"/>
        </w:rPr>
      </w:pPr>
      <w:r w:rsidRPr="005C220C">
        <w:rPr>
          <w:rFonts w:ascii="Verdana" w:hAnsi="Verdana" w:cs="Arial"/>
        </w:rPr>
        <w:tab/>
      </w:r>
      <w:r w:rsidR="00F60F35" w:rsidRPr="005C220C">
        <w:rPr>
          <w:rFonts w:ascii="Verdana" w:hAnsi="Verdana" w:cs="Arial"/>
        </w:rPr>
        <w:t xml:space="preserve">The </w:t>
      </w:r>
      <w:r w:rsidR="00D52355" w:rsidRPr="005C220C">
        <w:rPr>
          <w:rFonts w:ascii="Verdana" w:hAnsi="Verdana" w:cs="Arial"/>
        </w:rPr>
        <w:t xml:space="preserve">ages of </w:t>
      </w:r>
      <w:r w:rsidR="001F34CF" w:rsidRPr="005C220C">
        <w:rPr>
          <w:rFonts w:ascii="Verdana" w:hAnsi="Verdana" w:cs="Arial"/>
        </w:rPr>
        <w:t>injured workers</w:t>
      </w:r>
      <w:r w:rsidR="00D52355" w:rsidRPr="005C220C">
        <w:rPr>
          <w:rFonts w:ascii="Verdana" w:hAnsi="Verdana" w:cs="Arial"/>
        </w:rPr>
        <w:t xml:space="preserve"> seeking benefits from ISIF have</w:t>
      </w:r>
      <w:r w:rsidR="00F60F35" w:rsidRPr="005C220C">
        <w:rPr>
          <w:rFonts w:ascii="Verdana" w:hAnsi="Verdana" w:cs="Arial"/>
        </w:rPr>
        <w:t xml:space="preserve"> expanded greatly over the past few years and now range from </w:t>
      </w:r>
      <w:r w:rsidR="00DB1E69" w:rsidRPr="005C220C">
        <w:rPr>
          <w:rFonts w:ascii="Verdana" w:hAnsi="Verdana" w:cs="Arial"/>
        </w:rPr>
        <w:t xml:space="preserve">the </w:t>
      </w:r>
      <w:r w:rsidR="00FD284D">
        <w:rPr>
          <w:rFonts w:ascii="Verdana" w:hAnsi="Verdana" w:cs="Arial"/>
        </w:rPr>
        <w:t>low</w:t>
      </w:r>
      <w:r w:rsidR="00D52355" w:rsidRPr="005C220C">
        <w:rPr>
          <w:rFonts w:ascii="Verdana" w:hAnsi="Verdana" w:cs="Arial"/>
        </w:rPr>
        <w:t>-</w:t>
      </w:r>
      <w:r w:rsidR="009B1702">
        <w:rPr>
          <w:rFonts w:ascii="Verdana" w:hAnsi="Verdana" w:cs="Arial"/>
        </w:rPr>
        <w:t>2</w:t>
      </w:r>
      <w:r w:rsidR="00F60F35" w:rsidRPr="005C220C">
        <w:rPr>
          <w:rFonts w:ascii="Verdana" w:hAnsi="Verdana" w:cs="Arial"/>
        </w:rPr>
        <w:t xml:space="preserve">0’s to </w:t>
      </w:r>
      <w:r w:rsidR="00DA71F0" w:rsidRPr="005C220C">
        <w:rPr>
          <w:rFonts w:ascii="Verdana" w:hAnsi="Verdana" w:cs="Arial"/>
        </w:rPr>
        <w:t xml:space="preserve">the </w:t>
      </w:r>
      <w:r w:rsidR="001C1469">
        <w:rPr>
          <w:rFonts w:ascii="Verdana" w:hAnsi="Verdana" w:cs="Arial"/>
        </w:rPr>
        <w:t>upper</w:t>
      </w:r>
      <w:r w:rsidR="00D52355" w:rsidRPr="005C220C">
        <w:rPr>
          <w:rFonts w:ascii="Verdana" w:hAnsi="Verdana" w:cs="Arial"/>
        </w:rPr>
        <w:t>-70</w:t>
      </w:r>
      <w:r w:rsidR="00DA71F0" w:rsidRPr="005C220C">
        <w:rPr>
          <w:rFonts w:ascii="Verdana" w:hAnsi="Verdana" w:cs="Arial"/>
        </w:rPr>
        <w:t>’s</w:t>
      </w:r>
      <w:r w:rsidR="00F60F35" w:rsidRPr="005C220C">
        <w:rPr>
          <w:rFonts w:ascii="Verdana" w:hAnsi="Verdana" w:cs="Arial"/>
        </w:rPr>
        <w:t xml:space="preserve">.  </w:t>
      </w:r>
      <w:r w:rsidR="00884A2A" w:rsidRPr="005C220C">
        <w:rPr>
          <w:rFonts w:ascii="Verdana" w:hAnsi="Verdana" w:cs="Arial"/>
        </w:rPr>
        <w:t xml:space="preserve">It is especially alarming </w:t>
      </w:r>
      <w:r w:rsidR="00433779" w:rsidRPr="005C220C">
        <w:rPr>
          <w:rFonts w:ascii="Verdana" w:hAnsi="Verdana" w:cs="Arial"/>
        </w:rPr>
        <w:t>t</w:t>
      </w:r>
      <w:r w:rsidR="00884A2A" w:rsidRPr="005C220C">
        <w:rPr>
          <w:rFonts w:ascii="Verdana" w:hAnsi="Verdana" w:cs="Arial"/>
        </w:rPr>
        <w:t xml:space="preserve">o see the number of retired people who go back to work </w:t>
      </w:r>
      <w:r w:rsidR="00FD284D">
        <w:rPr>
          <w:rFonts w:ascii="Verdana" w:hAnsi="Verdana" w:cs="Arial"/>
        </w:rPr>
        <w:t xml:space="preserve">for </w:t>
      </w:r>
      <w:r w:rsidR="00DF6804" w:rsidRPr="005C220C">
        <w:rPr>
          <w:rFonts w:ascii="Verdana" w:hAnsi="Verdana" w:cs="Arial"/>
        </w:rPr>
        <w:t xml:space="preserve">part-time or seasonal jobs </w:t>
      </w:r>
      <w:r w:rsidR="00884A2A" w:rsidRPr="005C220C">
        <w:rPr>
          <w:rFonts w:ascii="Verdana" w:hAnsi="Verdana" w:cs="Arial"/>
        </w:rPr>
        <w:t xml:space="preserve">in their 70’s, get injured, and then </w:t>
      </w:r>
      <w:r w:rsidR="001C1469">
        <w:rPr>
          <w:rFonts w:ascii="Verdana" w:hAnsi="Verdana" w:cs="Arial"/>
        </w:rPr>
        <w:t>claim to be totally disabled for</w:t>
      </w:r>
      <w:r w:rsidR="00884A2A" w:rsidRPr="005C220C">
        <w:rPr>
          <w:rFonts w:ascii="Verdana" w:hAnsi="Verdana" w:cs="Arial"/>
        </w:rPr>
        <w:t xml:space="preserve"> lifetime benefits from ISIF.</w:t>
      </w:r>
      <w:r w:rsidR="00FD284D">
        <w:rPr>
          <w:rFonts w:ascii="Verdana" w:hAnsi="Verdana" w:cs="Arial"/>
        </w:rPr>
        <w:t xml:space="preserve">  In those instances, the ISIF benefits are more than their wages.</w:t>
      </w:r>
    </w:p>
    <w:p w:rsidR="00A908A8" w:rsidRPr="00A908A8" w:rsidRDefault="00C17D70" w:rsidP="00A908A8">
      <w:pPr>
        <w:pStyle w:val="NoSpacing"/>
        <w:jc w:val="both"/>
        <w:rPr>
          <w:rFonts w:ascii="Verdana" w:hAnsi="Verdana" w:cs="Arial"/>
        </w:rPr>
      </w:pPr>
      <w:r w:rsidRPr="005C220C">
        <w:rPr>
          <w:rFonts w:ascii="Verdana" w:hAnsi="Verdana" w:cs="Arial"/>
        </w:rPr>
        <w:tab/>
      </w:r>
      <w:r w:rsidR="00F60F35" w:rsidRPr="005C220C">
        <w:rPr>
          <w:rFonts w:ascii="Verdana" w:hAnsi="Verdana" w:cs="Arial"/>
        </w:rPr>
        <w:t xml:space="preserve">ISIF is proactive in bringing claims to final </w:t>
      </w:r>
      <w:r w:rsidR="00B90E73" w:rsidRPr="005C220C">
        <w:rPr>
          <w:rFonts w:ascii="Verdana" w:hAnsi="Verdana" w:cs="Arial"/>
        </w:rPr>
        <w:t>resolution</w:t>
      </w:r>
      <w:r w:rsidR="00D46AD9" w:rsidRPr="005C220C">
        <w:rPr>
          <w:rFonts w:ascii="Verdana" w:hAnsi="Verdana" w:cs="Arial"/>
        </w:rPr>
        <w:t xml:space="preserve"> without unnecessary delay</w:t>
      </w:r>
      <w:r w:rsidR="00F60F35" w:rsidRPr="005C220C">
        <w:rPr>
          <w:rFonts w:ascii="Verdana" w:hAnsi="Verdana" w:cs="Arial"/>
        </w:rPr>
        <w:t xml:space="preserve">.  </w:t>
      </w:r>
      <w:r w:rsidR="00820695" w:rsidRPr="005C220C">
        <w:rPr>
          <w:rFonts w:ascii="Verdana" w:hAnsi="Verdana" w:cs="Arial"/>
        </w:rPr>
        <w:t>T</w:t>
      </w:r>
      <w:r w:rsidR="009B750B" w:rsidRPr="005C220C">
        <w:rPr>
          <w:rFonts w:ascii="Verdana" w:hAnsi="Verdana" w:cs="Arial"/>
        </w:rPr>
        <w:t xml:space="preserve">he </w:t>
      </w:r>
      <w:r w:rsidR="00D46AD9" w:rsidRPr="005C220C">
        <w:rPr>
          <w:rFonts w:ascii="Verdana" w:hAnsi="Verdana" w:cs="Arial"/>
        </w:rPr>
        <w:t>fact that</w:t>
      </w:r>
      <w:r w:rsidR="009B750B" w:rsidRPr="005C220C">
        <w:rPr>
          <w:rFonts w:ascii="Verdana" w:hAnsi="Verdana" w:cs="Arial"/>
        </w:rPr>
        <w:t xml:space="preserve"> the claims are closely monitored and vigorously defended may be one reason for the </w:t>
      </w:r>
      <w:r w:rsidR="00DB1E69" w:rsidRPr="005C220C">
        <w:rPr>
          <w:rFonts w:ascii="Verdana" w:hAnsi="Verdana" w:cs="Arial"/>
        </w:rPr>
        <w:t xml:space="preserve">general </w:t>
      </w:r>
      <w:r w:rsidR="009B750B" w:rsidRPr="005C220C">
        <w:rPr>
          <w:rFonts w:ascii="Verdana" w:hAnsi="Verdana" w:cs="Arial"/>
        </w:rPr>
        <w:t xml:space="preserve">downward trend in filings.  </w:t>
      </w:r>
      <w:r w:rsidR="00F60F35" w:rsidRPr="005C220C">
        <w:rPr>
          <w:rFonts w:ascii="Verdana" w:hAnsi="Verdana" w:cs="Arial"/>
        </w:rPr>
        <w:t xml:space="preserve">By actively managing the claims and working closely with outside legal counsel, </w:t>
      </w:r>
      <w:r w:rsidR="00F127B4" w:rsidRPr="005C220C">
        <w:rPr>
          <w:rFonts w:ascii="Verdana" w:hAnsi="Verdana" w:cs="Arial"/>
        </w:rPr>
        <w:t xml:space="preserve">benefit payments, </w:t>
      </w:r>
      <w:r w:rsidR="00F60F35" w:rsidRPr="005C220C">
        <w:rPr>
          <w:rFonts w:ascii="Verdana" w:hAnsi="Verdana" w:cs="Arial"/>
        </w:rPr>
        <w:t xml:space="preserve">litigation costs, </w:t>
      </w:r>
      <w:r w:rsidR="00FD284D">
        <w:rPr>
          <w:rFonts w:ascii="Verdana" w:hAnsi="Verdana" w:cs="Arial"/>
        </w:rPr>
        <w:t xml:space="preserve">and </w:t>
      </w:r>
      <w:r w:rsidR="00F60F35" w:rsidRPr="005C220C">
        <w:rPr>
          <w:rFonts w:ascii="Verdana" w:hAnsi="Verdana" w:cs="Arial"/>
        </w:rPr>
        <w:t xml:space="preserve">liability exposure are held to acceptable levels.  </w:t>
      </w:r>
      <w:r w:rsidR="00D46AD9" w:rsidRPr="005C220C">
        <w:rPr>
          <w:rFonts w:ascii="Verdana" w:hAnsi="Verdana" w:cs="Arial"/>
        </w:rPr>
        <w:t>Nevertheless,</w:t>
      </w:r>
      <w:r w:rsidR="00F60F35" w:rsidRPr="005C220C">
        <w:rPr>
          <w:rFonts w:ascii="Verdana" w:hAnsi="Verdana" w:cs="Arial"/>
        </w:rPr>
        <w:t xml:space="preserve"> </w:t>
      </w:r>
      <w:r w:rsidR="0096314D" w:rsidRPr="005C220C">
        <w:rPr>
          <w:rFonts w:ascii="Verdana" w:hAnsi="Verdana" w:cs="Arial"/>
        </w:rPr>
        <w:t>ISIF cases have become</w:t>
      </w:r>
      <w:r w:rsidR="00F60F35" w:rsidRPr="005C220C">
        <w:rPr>
          <w:rFonts w:ascii="Verdana" w:hAnsi="Verdana" w:cs="Arial"/>
        </w:rPr>
        <w:t xml:space="preserve"> more complex </w:t>
      </w:r>
      <w:r w:rsidR="0096314D" w:rsidRPr="005C220C">
        <w:rPr>
          <w:rFonts w:ascii="Verdana" w:hAnsi="Verdana" w:cs="Arial"/>
        </w:rPr>
        <w:t>and more difficult to easily resolve.  Thus,</w:t>
      </w:r>
      <w:r w:rsidR="00F60F35" w:rsidRPr="005C220C">
        <w:rPr>
          <w:rFonts w:ascii="Verdana" w:hAnsi="Verdana" w:cs="Arial"/>
        </w:rPr>
        <w:t xml:space="preserve"> costs have increased </w:t>
      </w:r>
      <w:r w:rsidR="00C947DA" w:rsidRPr="005C220C">
        <w:rPr>
          <w:rFonts w:ascii="Verdana" w:hAnsi="Verdana" w:cs="Arial"/>
        </w:rPr>
        <w:t xml:space="preserve">even with </w:t>
      </w:r>
      <w:r w:rsidR="00F127B4" w:rsidRPr="005C220C">
        <w:rPr>
          <w:rFonts w:ascii="Verdana" w:hAnsi="Verdana" w:cs="Arial"/>
        </w:rPr>
        <w:t>the</w:t>
      </w:r>
      <w:r w:rsidR="00C947DA" w:rsidRPr="005C220C">
        <w:rPr>
          <w:rFonts w:ascii="Verdana" w:hAnsi="Verdana" w:cs="Arial"/>
        </w:rPr>
        <w:t xml:space="preserve"> best efforts to keep </w:t>
      </w:r>
      <w:r w:rsidR="00F127B4" w:rsidRPr="005C220C">
        <w:rPr>
          <w:rFonts w:ascii="Verdana" w:hAnsi="Verdana" w:cs="Arial"/>
        </w:rPr>
        <w:t>total expenditures from rising too rapidly.</w:t>
      </w:r>
      <w:r w:rsidR="00F60F35" w:rsidRPr="005C220C">
        <w:rPr>
          <w:rFonts w:ascii="Verdana" w:hAnsi="Verdana" w:cs="Arial"/>
        </w:rPr>
        <w:t xml:space="preserve">  </w:t>
      </w:r>
    </w:p>
    <w:p w:rsidR="00A908A8" w:rsidRPr="00E50715" w:rsidRDefault="00A908A8" w:rsidP="00F60F35">
      <w:pPr>
        <w:pStyle w:val="NoSpacing"/>
        <w:rPr>
          <w:rFonts w:ascii="Arial" w:hAnsi="Arial" w:cs="Arial"/>
          <w:b/>
          <w:u w:val="single"/>
        </w:rPr>
      </w:pPr>
    </w:p>
    <w:p w:rsidR="00C42AA1" w:rsidRPr="005C220C" w:rsidRDefault="00F60F35" w:rsidP="00F60F35">
      <w:pPr>
        <w:pStyle w:val="NoSpacing"/>
        <w:rPr>
          <w:rFonts w:ascii="Verdana" w:hAnsi="Verdana" w:cs="Arial"/>
          <w:b/>
          <w:u w:val="single"/>
        </w:rPr>
      </w:pPr>
      <w:r w:rsidRPr="005C220C">
        <w:rPr>
          <w:rFonts w:ascii="Verdana" w:hAnsi="Verdana" w:cs="Arial"/>
          <w:b/>
          <w:u w:val="single"/>
        </w:rPr>
        <w:t>Benefits Administration</w:t>
      </w:r>
    </w:p>
    <w:p w:rsidR="00C95644" w:rsidRPr="00FB24DB" w:rsidRDefault="00C42AA1" w:rsidP="00F60F35">
      <w:pPr>
        <w:pStyle w:val="NoSpacing"/>
        <w:rPr>
          <w:rFonts w:ascii="Verdana" w:hAnsi="Verdana" w:cs="Arial"/>
          <w:u w:val="single"/>
        </w:rPr>
      </w:pPr>
      <w:r w:rsidRPr="005C220C">
        <w:rPr>
          <w:rFonts w:ascii="Verdana" w:hAnsi="Verdana" w:cs="Arial"/>
        </w:rPr>
        <w:tab/>
      </w:r>
      <w:r w:rsidRPr="005C220C">
        <w:rPr>
          <w:rFonts w:ascii="Verdana" w:hAnsi="Verdana" w:cs="Arial"/>
          <w:u w:val="single"/>
        </w:rPr>
        <w:t>Claim Evaluation</w:t>
      </w:r>
    </w:p>
    <w:p w:rsidR="00C95644" w:rsidRPr="005C220C" w:rsidRDefault="00C95644" w:rsidP="00C95644">
      <w:pPr>
        <w:pStyle w:val="NoSpacing"/>
        <w:jc w:val="both"/>
        <w:rPr>
          <w:rFonts w:ascii="Verdana" w:hAnsi="Verdana" w:cs="Arial"/>
        </w:rPr>
      </w:pPr>
      <w:r w:rsidRPr="005C220C">
        <w:rPr>
          <w:rFonts w:ascii="Verdana" w:hAnsi="Verdana" w:cs="Arial"/>
        </w:rPr>
        <w:tab/>
        <w:t xml:space="preserve">The costs and time delays associated with the litigation process are now a natural occurrence </w:t>
      </w:r>
      <w:r w:rsidR="003B3070" w:rsidRPr="005C220C">
        <w:rPr>
          <w:rFonts w:ascii="Verdana" w:hAnsi="Verdana" w:cs="Arial"/>
        </w:rPr>
        <w:t>with</w:t>
      </w:r>
      <w:r w:rsidRPr="005C220C">
        <w:rPr>
          <w:rFonts w:ascii="Verdana" w:hAnsi="Verdana" w:cs="Arial"/>
        </w:rPr>
        <w:t xml:space="preserve"> complex </w:t>
      </w:r>
      <w:r w:rsidR="003D0666" w:rsidRPr="005C220C">
        <w:rPr>
          <w:rFonts w:ascii="Verdana" w:hAnsi="Verdana" w:cs="Arial"/>
        </w:rPr>
        <w:t>litigation and have been a long-</w:t>
      </w:r>
      <w:r w:rsidRPr="005C220C">
        <w:rPr>
          <w:rFonts w:ascii="Verdana" w:hAnsi="Verdana" w:cs="Arial"/>
        </w:rPr>
        <w:t>standing concern to the ISIF.  Since judicial review of an injured worker’s potential disability is not conducted until the hearing</w:t>
      </w:r>
      <w:r w:rsidR="00222E91" w:rsidRPr="005C220C">
        <w:rPr>
          <w:rFonts w:ascii="Verdana" w:hAnsi="Verdana" w:cs="Arial"/>
        </w:rPr>
        <w:t xml:space="preserve"> stage of a claim</w:t>
      </w:r>
      <w:r w:rsidRPr="005C220C">
        <w:rPr>
          <w:rFonts w:ascii="Verdana" w:hAnsi="Verdana" w:cs="Arial"/>
        </w:rPr>
        <w:t xml:space="preserve">, </w:t>
      </w:r>
      <w:r w:rsidR="00222E91" w:rsidRPr="005C220C">
        <w:rPr>
          <w:rFonts w:ascii="Verdana" w:hAnsi="Verdana" w:cs="Arial"/>
        </w:rPr>
        <w:t xml:space="preserve">as many as </w:t>
      </w:r>
      <w:r w:rsidR="00820578" w:rsidRPr="005C220C">
        <w:rPr>
          <w:rFonts w:ascii="Verdana" w:hAnsi="Verdana" w:cs="Arial"/>
        </w:rPr>
        <w:t>5-</w:t>
      </w:r>
      <w:r w:rsidR="005A5867" w:rsidRPr="005C220C">
        <w:rPr>
          <w:rFonts w:ascii="Verdana" w:hAnsi="Verdana" w:cs="Arial"/>
        </w:rPr>
        <w:t>10</w:t>
      </w:r>
      <w:r w:rsidR="00222E91" w:rsidRPr="005C220C">
        <w:rPr>
          <w:rFonts w:ascii="Verdana" w:hAnsi="Verdana" w:cs="Arial"/>
        </w:rPr>
        <w:t xml:space="preserve"> years may </w:t>
      </w:r>
      <w:r w:rsidR="00375C50" w:rsidRPr="005C220C">
        <w:rPr>
          <w:rFonts w:ascii="Verdana" w:hAnsi="Verdana" w:cs="Arial"/>
        </w:rPr>
        <w:t>lapse</w:t>
      </w:r>
      <w:r w:rsidR="00222E91" w:rsidRPr="005C220C">
        <w:rPr>
          <w:rFonts w:ascii="Verdana" w:hAnsi="Verdana" w:cs="Arial"/>
        </w:rPr>
        <w:t xml:space="preserve"> from the </w:t>
      </w:r>
      <w:r w:rsidR="00734EB2" w:rsidRPr="005C220C">
        <w:rPr>
          <w:rFonts w:ascii="Verdana" w:hAnsi="Verdana" w:cs="Arial"/>
        </w:rPr>
        <w:t xml:space="preserve">time of the </w:t>
      </w:r>
      <w:r w:rsidR="00222E91" w:rsidRPr="005C220C">
        <w:rPr>
          <w:rFonts w:ascii="Verdana" w:hAnsi="Verdana" w:cs="Arial"/>
        </w:rPr>
        <w:t xml:space="preserve">last </w:t>
      </w:r>
      <w:r w:rsidR="00375C50" w:rsidRPr="005C220C">
        <w:rPr>
          <w:rFonts w:ascii="Verdana" w:hAnsi="Verdana" w:cs="Arial"/>
        </w:rPr>
        <w:t xml:space="preserve">work </w:t>
      </w:r>
      <w:r w:rsidR="00222E91" w:rsidRPr="005C220C">
        <w:rPr>
          <w:rFonts w:ascii="Verdana" w:hAnsi="Verdana" w:cs="Arial"/>
        </w:rPr>
        <w:t xml:space="preserve">injury to the hearing date.  With injured workers having a deteriorating physical condition, any </w:t>
      </w:r>
      <w:r w:rsidR="00EB4DAC" w:rsidRPr="005C220C">
        <w:rPr>
          <w:rFonts w:ascii="Verdana" w:hAnsi="Verdana" w:cs="Arial"/>
        </w:rPr>
        <w:t>prolonged</w:t>
      </w:r>
      <w:r w:rsidR="00222E91" w:rsidRPr="005C220C">
        <w:rPr>
          <w:rFonts w:ascii="Verdana" w:hAnsi="Verdana" w:cs="Arial"/>
        </w:rPr>
        <w:t xml:space="preserve"> delay will </w:t>
      </w:r>
      <w:r w:rsidR="00EB4DAC" w:rsidRPr="005C220C">
        <w:rPr>
          <w:rFonts w:ascii="Verdana" w:hAnsi="Verdana" w:cs="Arial"/>
        </w:rPr>
        <w:t>be detrimental to</w:t>
      </w:r>
      <w:r w:rsidRPr="005C220C">
        <w:rPr>
          <w:rFonts w:ascii="Verdana" w:hAnsi="Verdana" w:cs="Arial"/>
        </w:rPr>
        <w:t xml:space="preserve"> ISIF</w:t>
      </w:r>
      <w:r w:rsidR="00EB4DAC" w:rsidRPr="005C220C">
        <w:rPr>
          <w:rFonts w:ascii="Verdana" w:hAnsi="Verdana" w:cs="Arial"/>
        </w:rPr>
        <w:t xml:space="preserve"> in challenging a claim for total and permanent disability.</w:t>
      </w:r>
      <w:r w:rsidRPr="005C220C">
        <w:rPr>
          <w:rFonts w:ascii="Verdana" w:hAnsi="Verdana" w:cs="Arial"/>
        </w:rPr>
        <w:t xml:space="preserve">  Put another way, any </w:t>
      </w:r>
      <w:r w:rsidR="00740351" w:rsidRPr="005C220C">
        <w:rPr>
          <w:rFonts w:ascii="Verdana" w:hAnsi="Verdana" w:cs="Arial"/>
        </w:rPr>
        <w:t>long-term</w:t>
      </w:r>
      <w:r w:rsidRPr="005C220C">
        <w:rPr>
          <w:rFonts w:ascii="Verdana" w:hAnsi="Verdana" w:cs="Arial"/>
        </w:rPr>
        <w:t xml:space="preserve"> delay in the judicial process will more-than-likely diminish the already poor physical and general health condition of the </w:t>
      </w:r>
      <w:r w:rsidR="00EB4DAC" w:rsidRPr="005C220C">
        <w:rPr>
          <w:rFonts w:ascii="Verdana" w:hAnsi="Verdana" w:cs="Arial"/>
        </w:rPr>
        <w:t xml:space="preserve">injured </w:t>
      </w:r>
      <w:r w:rsidRPr="005C220C">
        <w:rPr>
          <w:rFonts w:ascii="Verdana" w:hAnsi="Verdana" w:cs="Arial"/>
        </w:rPr>
        <w:t xml:space="preserve">worker.  As a result, the likelihood of establishing </w:t>
      </w:r>
      <w:r w:rsidR="00EB4DAC" w:rsidRPr="005C220C">
        <w:rPr>
          <w:rFonts w:ascii="Verdana" w:hAnsi="Verdana" w:cs="Arial"/>
        </w:rPr>
        <w:t xml:space="preserve">ISIF </w:t>
      </w:r>
      <w:r w:rsidRPr="005C220C">
        <w:rPr>
          <w:rFonts w:ascii="Verdana" w:hAnsi="Verdana" w:cs="Arial"/>
        </w:rPr>
        <w:t>liability</w:t>
      </w:r>
      <w:r w:rsidR="00EB4DAC" w:rsidRPr="005C220C">
        <w:rPr>
          <w:rFonts w:ascii="Verdana" w:hAnsi="Verdana" w:cs="Arial"/>
        </w:rPr>
        <w:t xml:space="preserve"> </w:t>
      </w:r>
      <w:r w:rsidRPr="005C220C">
        <w:rPr>
          <w:rFonts w:ascii="Verdana" w:hAnsi="Verdana" w:cs="Arial"/>
        </w:rPr>
        <w:t xml:space="preserve">is increased.  </w:t>
      </w:r>
      <w:r w:rsidR="00B63FB2">
        <w:rPr>
          <w:rFonts w:ascii="Verdana" w:hAnsi="Verdana" w:cs="Arial"/>
        </w:rPr>
        <w:t>As described earlier in this Report, the ISIF utilizes a</w:t>
      </w:r>
      <w:r w:rsidRPr="005C220C">
        <w:rPr>
          <w:rFonts w:ascii="Verdana" w:hAnsi="Verdana" w:cs="Arial"/>
        </w:rPr>
        <w:t xml:space="preserve"> </w:t>
      </w:r>
      <w:r w:rsidR="00721A8B" w:rsidRPr="005C220C">
        <w:rPr>
          <w:rFonts w:ascii="Verdana" w:hAnsi="Verdana" w:cs="Arial"/>
        </w:rPr>
        <w:t>60-day</w:t>
      </w:r>
      <w:r w:rsidRPr="005C220C">
        <w:rPr>
          <w:rFonts w:ascii="Verdana" w:hAnsi="Verdana" w:cs="Arial"/>
        </w:rPr>
        <w:t xml:space="preserve"> </w:t>
      </w:r>
      <w:r w:rsidR="00B63FB2">
        <w:rPr>
          <w:rFonts w:ascii="Verdana" w:hAnsi="Verdana" w:cs="Arial"/>
        </w:rPr>
        <w:t>time frame</w:t>
      </w:r>
      <w:r w:rsidRPr="005C220C">
        <w:rPr>
          <w:rFonts w:ascii="Verdana" w:hAnsi="Verdana" w:cs="Arial"/>
        </w:rPr>
        <w:t xml:space="preserve"> to review</w:t>
      </w:r>
      <w:r w:rsidR="00B63FB2">
        <w:rPr>
          <w:rFonts w:ascii="Verdana" w:hAnsi="Verdana" w:cs="Arial"/>
        </w:rPr>
        <w:t xml:space="preserve"> and evaluate a</w:t>
      </w:r>
      <w:r w:rsidR="00F92F80">
        <w:rPr>
          <w:rFonts w:ascii="Verdana" w:hAnsi="Verdana" w:cs="Arial"/>
        </w:rPr>
        <w:t>n initial claim for benefits,</w:t>
      </w:r>
      <w:r w:rsidRPr="005C220C">
        <w:rPr>
          <w:rFonts w:ascii="Verdana" w:hAnsi="Verdana" w:cs="Arial"/>
        </w:rPr>
        <w:t xml:space="preserve"> and </w:t>
      </w:r>
      <w:r w:rsidR="00B63FB2">
        <w:rPr>
          <w:rFonts w:ascii="Verdana" w:hAnsi="Verdana" w:cs="Arial"/>
        </w:rPr>
        <w:t xml:space="preserve">then </w:t>
      </w:r>
      <w:r w:rsidR="00F92F80">
        <w:rPr>
          <w:rFonts w:ascii="Verdana" w:hAnsi="Verdana" w:cs="Arial"/>
        </w:rPr>
        <w:t>resolve</w:t>
      </w:r>
      <w:r w:rsidRPr="005C220C">
        <w:rPr>
          <w:rFonts w:ascii="Verdana" w:hAnsi="Verdana" w:cs="Arial"/>
        </w:rPr>
        <w:t xml:space="preserve"> claims without involving extensive use of outside legal counsel and the time</w:t>
      </w:r>
      <w:r w:rsidR="004C56C2">
        <w:rPr>
          <w:rFonts w:ascii="Verdana" w:hAnsi="Verdana" w:cs="Arial"/>
        </w:rPr>
        <w:t>-</w:t>
      </w:r>
      <w:r w:rsidRPr="005C220C">
        <w:rPr>
          <w:rFonts w:ascii="Verdana" w:hAnsi="Verdana" w:cs="Arial"/>
        </w:rPr>
        <w:t>consuming judicial process.</w:t>
      </w:r>
    </w:p>
    <w:p w:rsidR="002511F6" w:rsidRPr="005C220C" w:rsidRDefault="00C95644" w:rsidP="00C95644">
      <w:pPr>
        <w:pStyle w:val="NoSpacing"/>
        <w:jc w:val="both"/>
        <w:rPr>
          <w:rFonts w:ascii="Verdana" w:hAnsi="Verdana" w:cs="Arial"/>
        </w:rPr>
      </w:pPr>
      <w:r w:rsidRPr="005C220C">
        <w:rPr>
          <w:rFonts w:ascii="Verdana" w:hAnsi="Verdana" w:cs="Arial"/>
        </w:rPr>
        <w:tab/>
        <w:t>Even without resol</w:t>
      </w:r>
      <w:r w:rsidR="004C56C2">
        <w:rPr>
          <w:rFonts w:ascii="Verdana" w:hAnsi="Verdana" w:cs="Arial"/>
        </w:rPr>
        <w:t>ving</w:t>
      </w:r>
      <w:r w:rsidRPr="005C220C">
        <w:rPr>
          <w:rFonts w:ascii="Verdana" w:hAnsi="Verdana" w:cs="Arial"/>
        </w:rPr>
        <w:t xml:space="preserve"> the claim during the 60-day period, the </w:t>
      </w:r>
      <w:r w:rsidR="00D479A9">
        <w:rPr>
          <w:rFonts w:ascii="Verdana" w:hAnsi="Verdana" w:cs="Arial"/>
        </w:rPr>
        <w:t>initial in-house evaluation</w:t>
      </w:r>
      <w:r w:rsidRPr="005C220C">
        <w:rPr>
          <w:rFonts w:ascii="Verdana" w:hAnsi="Verdana" w:cs="Arial"/>
        </w:rPr>
        <w:t xml:space="preserve"> </w:t>
      </w:r>
      <w:r w:rsidR="00A9102A">
        <w:rPr>
          <w:rFonts w:ascii="Verdana" w:hAnsi="Verdana" w:cs="Arial"/>
        </w:rPr>
        <w:t xml:space="preserve">of the claim </w:t>
      </w:r>
      <w:r w:rsidRPr="005C220C">
        <w:rPr>
          <w:rFonts w:ascii="Verdana" w:hAnsi="Verdana" w:cs="Arial"/>
        </w:rPr>
        <w:t>has permitted ISIF to better manage overall litigation expenses</w:t>
      </w:r>
      <w:r w:rsidR="00D479A9">
        <w:rPr>
          <w:rFonts w:ascii="Verdana" w:hAnsi="Verdana" w:cs="Arial"/>
        </w:rPr>
        <w:t>.</w:t>
      </w:r>
      <w:r w:rsidRPr="005C220C">
        <w:rPr>
          <w:rFonts w:ascii="Verdana" w:hAnsi="Verdana" w:cs="Arial"/>
        </w:rPr>
        <w:t xml:space="preserve">  </w:t>
      </w:r>
      <w:r w:rsidR="00A9102A">
        <w:rPr>
          <w:rFonts w:ascii="Verdana" w:hAnsi="Verdana" w:cs="Arial"/>
        </w:rPr>
        <w:t>Originally,</w:t>
      </w:r>
      <w:r w:rsidRPr="005C220C">
        <w:rPr>
          <w:rFonts w:ascii="Verdana" w:hAnsi="Verdana" w:cs="Arial"/>
        </w:rPr>
        <w:t xml:space="preserve"> th</w:t>
      </w:r>
      <w:r w:rsidR="004C56C2">
        <w:rPr>
          <w:rFonts w:ascii="Verdana" w:hAnsi="Verdana" w:cs="Arial"/>
        </w:rPr>
        <w:t>is time period was designed</w:t>
      </w:r>
      <w:r w:rsidRPr="005C220C">
        <w:rPr>
          <w:rFonts w:ascii="Verdana" w:hAnsi="Verdana" w:cs="Arial"/>
        </w:rPr>
        <w:t xml:space="preserve"> to bring faster relief and a less </w:t>
      </w:r>
      <w:r w:rsidR="00125580" w:rsidRPr="005C220C">
        <w:rPr>
          <w:rFonts w:ascii="Verdana" w:hAnsi="Verdana" w:cs="Arial"/>
        </w:rPr>
        <w:t>complicated litigation</w:t>
      </w:r>
      <w:r w:rsidRPr="005C220C">
        <w:rPr>
          <w:rFonts w:ascii="Verdana" w:hAnsi="Verdana" w:cs="Arial"/>
        </w:rPr>
        <w:t xml:space="preserve"> process to claimants, sureties and self-insured employers.  In some claims, th</w:t>
      </w:r>
      <w:r w:rsidR="00A9102A">
        <w:rPr>
          <w:rFonts w:ascii="Verdana" w:hAnsi="Verdana" w:cs="Arial"/>
        </w:rPr>
        <w:t>is “grace period”</w:t>
      </w:r>
      <w:r w:rsidRPr="005C220C">
        <w:rPr>
          <w:rFonts w:ascii="Verdana" w:hAnsi="Verdana" w:cs="Arial"/>
        </w:rPr>
        <w:t xml:space="preserve"> has met its expectations.  </w:t>
      </w:r>
      <w:r w:rsidRPr="005C220C">
        <w:rPr>
          <w:rFonts w:ascii="Verdana" w:hAnsi="Verdana" w:cs="Arial"/>
        </w:rPr>
        <w:lastRenderedPageBreak/>
        <w:t>However, in far too many claims, the material submitted to ISIF for review is not entirely relevant and contains many extraneous documents having no bearing on ISIF liability.  This creates a frustrating process leading to denial of a claim, which then leads to formal litigation necessitating a more complex process</w:t>
      </w:r>
      <w:r w:rsidR="005473CF" w:rsidRPr="005C220C">
        <w:rPr>
          <w:rFonts w:ascii="Verdana" w:hAnsi="Verdana" w:cs="Arial"/>
        </w:rPr>
        <w:t>.  This situation results in</w:t>
      </w:r>
      <w:r w:rsidRPr="005C220C">
        <w:rPr>
          <w:rFonts w:ascii="Verdana" w:hAnsi="Verdana" w:cs="Arial"/>
        </w:rPr>
        <w:t xml:space="preserve"> more costs and expense</w:t>
      </w:r>
      <w:r w:rsidR="00A9102A">
        <w:rPr>
          <w:rFonts w:ascii="Verdana" w:hAnsi="Verdana" w:cs="Arial"/>
        </w:rPr>
        <w:t>s</w:t>
      </w:r>
      <w:r w:rsidRPr="005C220C">
        <w:rPr>
          <w:rFonts w:ascii="Verdana" w:hAnsi="Verdana" w:cs="Arial"/>
        </w:rPr>
        <w:t xml:space="preserve"> for all litigants.  When this occurs, the </w:t>
      </w:r>
      <w:r w:rsidR="00A9102A">
        <w:rPr>
          <w:rFonts w:ascii="Verdana" w:hAnsi="Verdana" w:cs="Arial"/>
        </w:rPr>
        <w:t xml:space="preserve">original </w:t>
      </w:r>
      <w:r w:rsidRPr="005C220C">
        <w:rPr>
          <w:rFonts w:ascii="Verdana" w:hAnsi="Verdana" w:cs="Arial"/>
        </w:rPr>
        <w:t>intent</w:t>
      </w:r>
      <w:r w:rsidR="003B50D5" w:rsidRPr="005C220C">
        <w:rPr>
          <w:rFonts w:ascii="Verdana" w:hAnsi="Verdana" w:cs="Arial"/>
        </w:rPr>
        <w:t xml:space="preserve"> of the 60-day rule </w:t>
      </w:r>
      <w:r w:rsidR="00375C50" w:rsidRPr="005C220C">
        <w:rPr>
          <w:rFonts w:ascii="Verdana" w:hAnsi="Verdana" w:cs="Arial"/>
        </w:rPr>
        <w:t xml:space="preserve">is </w:t>
      </w:r>
      <w:r w:rsidR="003B50D5" w:rsidRPr="005C220C">
        <w:rPr>
          <w:rFonts w:ascii="Verdana" w:hAnsi="Verdana" w:cs="Arial"/>
        </w:rPr>
        <w:t>not</w:t>
      </w:r>
      <w:r w:rsidR="005473CF" w:rsidRPr="005C220C">
        <w:rPr>
          <w:rFonts w:ascii="Verdana" w:hAnsi="Verdana" w:cs="Arial"/>
        </w:rPr>
        <w:t xml:space="preserve"> </w:t>
      </w:r>
      <w:r w:rsidR="005C3A8C" w:rsidRPr="005C220C">
        <w:rPr>
          <w:rFonts w:ascii="Verdana" w:hAnsi="Verdana" w:cs="Arial"/>
        </w:rPr>
        <w:t>achieved</w:t>
      </w:r>
      <w:r w:rsidR="005473CF" w:rsidRPr="005C220C">
        <w:rPr>
          <w:rFonts w:ascii="Verdana" w:hAnsi="Verdana" w:cs="Arial"/>
        </w:rPr>
        <w:t>.</w:t>
      </w:r>
    </w:p>
    <w:p w:rsidR="005426CF" w:rsidRPr="00277F61" w:rsidRDefault="005426CF" w:rsidP="005426CF">
      <w:pPr>
        <w:pStyle w:val="NoSpacing"/>
        <w:jc w:val="both"/>
        <w:rPr>
          <w:rFonts w:ascii="Verdana" w:hAnsi="Verdana" w:cs="Arial"/>
        </w:rPr>
      </w:pPr>
      <w:r>
        <w:rPr>
          <w:rFonts w:ascii="Verdana" w:hAnsi="Verdana" w:cs="Arial"/>
        </w:rPr>
        <w:tab/>
        <w:t>R</w:t>
      </w:r>
      <w:r w:rsidRPr="00277F61">
        <w:rPr>
          <w:rFonts w:ascii="Verdana" w:hAnsi="Verdana" w:cs="Arial"/>
        </w:rPr>
        <w:t xml:space="preserve">egular inflationary increases based on the average state wage (ASW) have added to the overall cost of </w:t>
      </w:r>
      <w:r>
        <w:rPr>
          <w:rFonts w:ascii="Verdana" w:hAnsi="Verdana" w:cs="Arial"/>
        </w:rPr>
        <w:t>ISIF</w:t>
      </w:r>
      <w:r w:rsidRPr="00277F61">
        <w:rPr>
          <w:rFonts w:ascii="Verdana" w:hAnsi="Verdana" w:cs="Arial"/>
        </w:rPr>
        <w:t xml:space="preserve"> benefit</w:t>
      </w:r>
      <w:r>
        <w:rPr>
          <w:rFonts w:ascii="Verdana" w:hAnsi="Verdana" w:cs="Arial"/>
        </w:rPr>
        <w:t>s</w:t>
      </w:r>
      <w:r w:rsidRPr="00277F61">
        <w:rPr>
          <w:rFonts w:ascii="Verdana" w:hAnsi="Verdana" w:cs="Arial"/>
        </w:rPr>
        <w:t>.  For calendar year 201</w:t>
      </w:r>
      <w:r>
        <w:rPr>
          <w:rFonts w:ascii="Verdana" w:hAnsi="Verdana" w:cs="Arial"/>
        </w:rPr>
        <w:t>9</w:t>
      </w:r>
      <w:r w:rsidRPr="00277F61">
        <w:rPr>
          <w:rFonts w:ascii="Verdana" w:hAnsi="Verdana" w:cs="Arial"/>
        </w:rPr>
        <w:t xml:space="preserve">, the ASW had a substantial increase of </w:t>
      </w:r>
      <w:r>
        <w:rPr>
          <w:rFonts w:ascii="Verdana" w:hAnsi="Verdana" w:cs="Arial"/>
        </w:rPr>
        <w:t>4</w:t>
      </w:r>
      <w:r w:rsidRPr="00277F61">
        <w:rPr>
          <w:rFonts w:ascii="Verdana" w:hAnsi="Verdana" w:cs="Arial"/>
        </w:rPr>
        <w:t>.</w:t>
      </w:r>
      <w:r>
        <w:rPr>
          <w:rFonts w:ascii="Verdana" w:hAnsi="Verdana" w:cs="Arial"/>
        </w:rPr>
        <w:t>38</w:t>
      </w:r>
      <w:r w:rsidRPr="00277F61">
        <w:rPr>
          <w:rFonts w:ascii="Verdana" w:hAnsi="Verdana" w:cs="Arial"/>
        </w:rPr>
        <w:t xml:space="preserve">%, which </w:t>
      </w:r>
      <w:r>
        <w:rPr>
          <w:rFonts w:ascii="Verdana" w:hAnsi="Verdana" w:cs="Arial"/>
        </w:rPr>
        <w:t>is the second largest increase in the past decade topped only by the 4.64% increase in 2016.</w:t>
      </w:r>
      <w:r w:rsidRPr="00277F61">
        <w:rPr>
          <w:rFonts w:ascii="Verdana" w:hAnsi="Verdana" w:cs="Arial"/>
        </w:rPr>
        <w:t xml:space="preserve">  Since 2009, monthly benefits have increased a total of </w:t>
      </w:r>
      <w:r w:rsidR="00F92F80">
        <w:rPr>
          <w:rFonts w:ascii="Verdana" w:hAnsi="Verdana" w:cs="Arial"/>
        </w:rPr>
        <w:t>78.8</w:t>
      </w:r>
      <w:r w:rsidRPr="00277F61">
        <w:rPr>
          <w:rFonts w:ascii="Verdana" w:hAnsi="Verdana" w:cs="Arial"/>
        </w:rPr>
        <w:t xml:space="preserve">%, or an average annual increase of </w:t>
      </w:r>
      <w:r w:rsidR="00F92F80">
        <w:rPr>
          <w:rFonts w:ascii="Verdana" w:hAnsi="Verdana" w:cs="Arial"/>
        </w:rPr>
        <w:t>7.88</w:t>
      </w:r>
      <w:r w:rsidRPr="00277F61">
        <w:rPr>
          <w:rFonts w:ascii="Verdana" w:hAnsi="Verdana" w:cs="Arial"/>
        </w:rPr>
        <w:t xml:space="preserve">%.  This trend is clearly of great concern to the ISIF.  Should this trend continue, payments for monthly beneficiaries would </w:t>
      </w:r>
      <w:r w:rsidR="00221905">
        <w:rPr>
          <w:rFonts w:ascii="Verdana" w:hAnsi="Verdana" w:cs="Arial"/>
        </w:rPr>
        <w:t xml:space="preserve">be projected to </w:t>
      </w:r>
      <w:r w:rsidRPr="00277F61">
        <w:rPr>
          <w:rFonts w:ascii="Verdana" w:hAnsi="Verdana" w:cs="Arial"/>
        </w:rPr>
        <w:t xml:space="preserve">double about every </w:t>
      </w:r>
      <w:r w:rsidR="00F92F80">
        <w:rPr>
          <w:rFonts w:ascii="Verdana" w:hAnsi="Verdana" w:cs="Arial"/>
        </w:rPr>
        <w:t>nine (9)</w:t>
      </w:r>
      <w:r w:rsidRPr="00277F61">
        <w:rPr>
          <w:rFonts w:ascii="Verdana" w:hAnsi="Verdana" w:cs="Arial"/>
        </w:rPr>
        <w:t xml:space="preserve"> years.  </w:t>
      </w:r>
    </w:p>
    <w:p w:rsidR="002511F6" w:rsidRPr="005C220C" w:rsidRDefault="002511F6" w:rsidP="00C95644">
      <w:pPr>
        <w:pStyle w:val="NoSpacing"/>
        <w:jc w:val="both"/>
        <w:rPr>
          <w:rFonts w:ascii="Verdana" w:hAnsi="Verdana" w:cs="Arial"/>
        </w:rPr>
      </w:pPr>
    </w:p>
    <w:p w:rsidR="00F60F35" w:rsidRPr="005C220C" w:rsidRDefault="00C42AA1" w:rsidP="008A3E87">
      <w:pPr>
        <w:pStyle w:val="NoSpacing"/>
        <w:jc w:val="both"/>
        <w:rPr>
          <w:rFonts w:ascii="Verdana" w:hAnsi="Verdana" w:cs="Arial"/>
          <w:u w:val="single"/>
        </w:rPr>
      </w:pPr>
      <w:r w:rsidRPr="005C220C">
        <w:rPr>
          <w:rFonts w:ascii="Verdana" w:hAnsi="Verdana" w:cs="Arial"/>
        </w:rPr>
        <w:tab/>
      </w:r>
      <w:r w:rsidRPr="005C220C">
        <w:rPr>
          <w:rFonts w:ascii="Verdana" w:hAnsi="Verdana" w:cs="Arial"/>
          <w:u w:val="single"/>
        </w:rPr>
        <w:t>Settlement Process</w:t>
      </w:r>
    </w:p>
    <w:p w:rsidR="00F60F35" w:rsidRPr="00277F61" w:rsidRDefault="00C17D70" w:rsidP="00BF3FC4">
      <w:pPr>
        <w:pStyle w:val="NoSpacing"/>
        <w:jc w:val="both"/>
        <w:rPr>
          <w:rFonts w:ascii="Verdana" w:hAnsi="Verdana" w:cs="Arial"/>
        </w:rPr>
      </w:pPr>
      <w:r w:rsidRPr="005C220C">
        <w:rPr>
          <w:rFonts w:ascii="Verdana" w:hAnsi="Verdana" w:cs="Arial"/>
        </w:rPr>
        <w:tab/>
      </w:r>
      <w:r w:rsidR="007D0A04" w:rsidRPr="005C220C">
        <w:rPr>
          <w:rFonts w:ascii="Verdana" w:hAnsi="Verdana" w:cs="Arial"/>
        </w:rPr>
        <w:t xml:space="preserve">As previously mentioned, </w:t>
      </w:r>
      <w:r w:rsidR="00F469E2" w:rsidRPr="005C220C">
        <w:rPr>
          <w:rFonts w:ascii="Verdana" w:hAnsi="Verdana" w:cs="Arial"/>
        </w:rPr>
        <w:t xml:space="preserve">a more </w:t>
      </w:r>
      <w:r w:rsidR="007056BB">
        <w:rPr>
          <w:rFonts w:ascii="Verdana" w:hAnsi="Verdana" w:cs="Arial"/>
        </w:rPr>
        <w:t>expeditious</w:t>
      </w:r>
      <w:r w:rsidR="00F469E2" w:rsidRPr="005C220C">
        <w:rPr>
          <w:rFonts w:ascii="Verdana" w:hAnsi="Verdana" w:cs="Arial"/>
        </w:rPr>
        <w:t xml:space="preserve"> </w:t>
      </w:r>
      <w:r w:rsidR="00F60F35" w:rsidRPr="005C220C">
        <w:rPr>
          <w:rFonts w:ascii="Verdana" w:hAnsi="Verdana" w:cs="Arial"/>
        </w:rPr>
        <w:t xml:space="preserve">way to bring cases to final </w:t>
      </w:r>
      <w:r w:rsidR="000A5B4E" w:rsidRPr="005C220C">
        <w:rPr>
          <w:rFonts w:ascii="Verdana" w:hAnsi="Verdana" w:cs="Arial"/>
        </w:rPr>
        <w:t>resolution</w:t>
      </w:r>
      <w:r w:rsidR="00F60F35" w:rsidRPr="005C220C">
        <w:rPr>
          <w:rFonts w:ascii="Verdana" w:hAnsi="Verdana" w:cs="Arial"/>
        </w:rPr>
        <w:t xml:space="preserve"> is through the settlement p</w:t>
      </w:r>
      <w:r w:rsidR="007D0A04" w:rsidRPr="005C220C">
        <w:rPr>
          <w:rFonts w:ascii="Verdana" w:hAnsi="Verdana" w:cs="Arial"/>
        </w:rPr>
        <w:t>rocess.  A</w:t>
      </w:r>
      <w:r w:rsidR="00F60F35" w:rsidRPr="005C220C">
        <w:rPr>
          <w:rFonts w:ascii="Verdana" w:hAnsi="Verdana" w:cs="Arial"/>
        </w:rPr>
        <w:t xml:space="preserve"> final </w:t>
      </w:r>
      <w:r w:rsidR="007D0A04" w:rsidRPr="005C220C">
        <w:rPr>
          <w:rFonts w:ascii="Verdana" w:hAnsi="Verdana" w:cs="Arial"/>
        </w:rPr>
        <w:t>agreement</w:t>
      </w:r>
      <w:r w:rsidR="00EA6B8A" w:rsidRPr="005C220C">
        <w:rPr>
          <w:rFonts w:ascii="Verdana" w:hAnsi="Verdana" w:cs="Arial"/>
        </w:rPr>
        <w:t xml:space="preserve"> </w:t>
      </w:r>
      <w:r w:rsidR="007D0A04" w:rsidRPr="005C220C">
        <w:rPr>
          <w:rFonts w:ascii="Verdana" w:hAnsi="Verdana" w:cs="Arial"/>
        </w:rPr>
        <w:t>to resolve the</w:t>
      </w:r>
      <w:r w:rsidR="007D0A04" w:rsidRPr="00CA3F4E">
        <w:rPr>
          <w:rFonts w:ascii="Arial" w:hAnsi="Arial" w:cs="Arial"/>
          <w:sz w:val="22"/>
          <w:szCs w:val="22"/>
        </w:rPr>
        <w:t xml:space="preserve"> claim</w:t>
      </w:r>
      <w:r w:rsidR="00F60F35" w:rsidRPr="00CA3F4E">
        <w:rPr>
          <w:rFonts w:ascii="Arial" w:hAnsi="Arial" w:cs="Arial"/>
          <w:sz w:val="22"/>
          <w:szCs w:val="22"/>
        </w:rPr>
        <w:t xml:space="preserve"> </w:t>
      </w:r>
      <w:r w:rsidR="00555FD4" w:rsidRPr="005C220C">
        <w:rPr>
          <w:rFonts w:ascii="Verdana" w:hAnsi="Verdana" w:cs="Arial"/>
        </w:rPr>
        <w:t xml:space="preserve">between the claimant and ISIF </w:t>
      </w:r>
      <w:r w:rsidR="008F0C29" w:rsidRPr="00CA3F4E">
        <w:rPr>
          <w:rFonts w:ascii="Arial" w:hAnsi="Arial" w:cs="Arial"/>
          <w:sz w:val="22"/>
          <w:szCs w:val="22"/>
        </w:rPr>
        <w:t>can be</w:t>
      </w:r>
      <w:r w:rsidR="00F60F35" w:rsidRPr="00CA3F4E">
        <w:rPr>
          <w:rFonts w:ascii="Arial" w:hAnsi="Arial" w:cs="Arial"/>
          <w:sz w:val="22"/>
          <w:szCs w:val="22"/>
        </w:rPr>
        <w:t xml:space="preserve"> accomplished </w:t>
      </w:r>
      <w:r w:rsidR="00070831" w:rsidRPr="00CA3F4E">
        <w:rPr>
          <w:rFonts w:ascii="Arial" w:hAnsi="Arial" w:cs="Arial"/>
          <w:sz w:val="22"/>
          <w:szCs w:val="22"/>
        </w:rPr>
        <w:t xml:space="preserve">through private negotiation or </w:t>
      </w:r>
      <w:r w:rsidR="00555FD4">
        <w:rPr>
          <w:rFonts w:ascii="Arial" w:hAnsi="Arial" w:cs="Arial"/>
          <w:sz w:val="22"/>
          <w:szCs w:val="22"/>
        </w:rPr>
        <w:t xml:space="preserve">a </w:t>
      </w:r>
      <w:r w:rsidR="00070831" w:rsidRPr="00CA3F4E">
        <w:rPr>
          <w:rFonts w:ascii="Arial" w:hAnsi="Arial" w:cs="Arial"/>
          <w:sz w:val="22"/>
          <w:szCs w:val="22"/>
        </w:rPr>
        <w:t xml:space="preserve">mediation </w:t>
      </w:r>
      <w:r w:rsidR="00555FD4">
        <w:rPr>
          <w:rFonts w:ascii="Arial" w:hAnsi="Arial" w:cs="Arial"/>
          <w:sz w:val="22"/>
          <w:szCs w:val="22"/>
        </w:rPr>
        <w:t>process with</w:t>
      </w:r>
      <w:r w:rsidR="008F0C29" w:rsidRPr="00CA3F4E">
        <w:rPr>
          <w:rFonts w:ascii="Arial" w:hAnsi="Arial" w:cs="Arial"/>
          <w:sz w:val="22"/>
          <w:szCs w:val="22"/>
        </w:rPr>
        <w:t xml:space="preserve"> </w:t>
      </w:r>
      <w:r w:rsidR="00070831" w:rsidRPr="00CA3F4E">
        <w:rPr>
          <w:rFonts w:ascii="Arial" w:hAnsi="Arial" w:cs="Arial"/>
          <w:sz w:val="22"/>
          <w:szCs w:val="22"/>
        </w:rPr>
        <w:t xml:space="preserve">the </w:t>
      </w:r>
      <w:r w:rsidR="00555FD4">
        <w:rPr>
          <w:rFonts w:ascii="Arial" w:hAnsi="Arial" w:cs="Arial"/>
          <w:sz w:val="22"/>
          <w:szCs w:val="22"/>
        </w:rPr>
        <w:t xml:space="preserve">assistance of a mediator provided by the </w:t>
      </w:r>
      <w:r w:rsidR="00070831" w:rsidRPr="00CA3F4E">
        <w:rPr>
          <w:rFonts w:ascii="Arial" w:hAnsi="Arial" w:cs="Arial"/>
          <w:sz w:val="22"/>
          <w:szCs w:val="22"/>
        </w:rPr>
        <w:t xml:space="preserve">Industrial Commission.  A settlement can be </w:t>
      </w:r>
      <w:r w:rsidR="00011671" w:rsidRPr="00277F61">
        <w:rPr>
          <w:rFonts w:ascii="Verdana" w:hAnsi="Verdana" w:cs="Arial"/>
        </w:rPr>
        <w:t>structured</w:t>
      </w:r>
      <w:r w:rsidR="00070831" w:rsidRPr="00277F61">
        <w:rPr>
          <w:rFonts w:ascii="Verdana" w:hAnsi="Verdana" w:cs="Arial"/>
        </w:rPr>
        <w:t xml:space="preserve"> </w:t>
      </w:r>
      <w:r w:rsidR="00F60F35" w:rsidRPr="00277F61">
        <w:rPr>
          <w:rFonts w:ascii="Verdana" w:hAnsi="Verdana" w:cs="Arial"/>
        </w:rPr>
        <w:t xml:space="preserve">in </w:t>
      </w:r>
      <w:r w:rsidR="00EA6B8A" w:rsidRPr="00277F61">
        <w:rPr>
          <w:rFonts w:ascii="Verdana" w:hAnsi="Verdana" w:cs="Arial"/>
        </w:rPr>
        <w:t>different</w:t>
      </w:r>
      <w:r w:rsidR="00011671" w:rsidRPr="00277F61">
        <w:rPr>
          <w:rFonts w:ascii="Verdana" w:hAnsi="Verdana" w:cs="Arial"/>
        </w:rPr>
        <w:t xml:space="preserve"> ways, including</w:t>
      </w:r>
      <w:r w:rsidR="00070831" w:rsidRPr="00277F61">
        <w:rPr>
          <w:rFonts w:ascii="Verdana" w:hAnsi="Verdana" w:cs="Arial"/>
        </w:rPr>
        <w:t xml:space="preserve"> </w:t>
      </w:r>
      <w:r w:rsidR="00F60F35" w:rsidRPr="00277F61">
        <w:rPr>
          <w:rFonts w:ascii="Verdana" w:hAnsi="Verdana" w:cs="Arial"/>
        </w:rPr>
        <w:t xml:space="preserve">a one-time lump sum payment, periodic monthly payments, deferred lump sum or periodic payments, or any combination of these options with the approval of the Industrial Commission.  </w:t>
      </w:r>
    </w:p>
    <w:p w:rsidR="00C42AA1" w:rsidRPr="00277F61" w:rsidRDefault="00C17D70" w:rsidP="00BF3FC4">
      <w:pPr>
        <w:pStyle w:val="NoSpacing"/>
        <w:jc w:val="both"/>
        <w:rPr>
          <w:rFonts w:ascii="Verdana" w:hAnsi="Verdana" w:cs="Arial"/>
        </w:rPr>
      </w:pPr>
      <w:r w:rsidRPr="00277F61">
        <w:rPr>
          <w:rFonts w:ascii="Verdana" w:hAnsi="Verdana" w:cs="Arial"/>
        </w:rPr>
        <w:tab/>
      </w:r>
      <w:r w:rsidR="005915C4" w:rsidRPr="00277F61">
        <w:rPr>
          <w:rFonts w:ascii="Verdana" w:hAnsi="Verdana" w:cs="Arial"/>
        </w:rPr>
        <w:t>In 2009</w:t>
      </w:r>
      <w:r w:rsidR="00F60F35" w:rsidRPr="00277F61">
        <w:rPr>
          <w:rFonts w:ascii="Verdana" w:hAnsi="Verdana" w:cs="Arial"/>
        </w:rPr>
        <w:t xml:space="preserve">, Idaho case law </w:t>
      </w:r>
      <w:r w:rsidR="005915C4" w:rsidRPr="00277F61">
        <w:rPr>
          <w:rFonts w:ascii="Verdana" w:hAnsi="Verdana" w:cs="Arial"/>
        </w:rPr>
        <w:t xml:space="preserve">significantly changed </w:t>
      </w:r>
      <w:r w:rsidR="00F60F35" w:rsidRPr="00277F61">
        <w:rPr>
          <w:rFonts w:ascii="Verdana" w:hAnsi="Verdana" w:cs="Arial"/>
        </w:rPr>
        <w:t xml:space="preserve">the settlement process </w:t>
      </w:r>
      <w:r w:rsidR="006E74BA" w:rsidRPr="00277F61">
        <w:rPr>
          <w:rFonts w:ascii="Verdana" w:hAnsi="Verdana" w:cs="Arial"/>
        </w:rPr>
        <w:t xml:space="preserve">and made it </w:t>
      </w:r>
      <w:r w:rsidR="00F60F35" w:rsidRPr="00277F61">
        <w:rPr>
          <w:rFonts w:ascii="Verdana" w:hAnsi="Verdana" w:cs="Arial"/>
        </w:rPr>
        <w:t>more complicated</w:t>
      </w:r>
      <w:r w:rsidR="000A5B4E" w:rsidRPr="00277F61">
        <w:rPr>
          <w:rFonts w:ascii="Verdana" w:hAnsi="Verdana" w:cs="Arial"/>
        </w:rPr>
        <w:t xml:space="preserve"> for ISIF</w:t>
      </w:r>
      <w:r w:rsidR="00F60F35" w:rsidRPr="00277F61">
        <w:rPr>
          <w:rFonts w:ascii="Verdana" w:hAnsi="Verdana" w:cs="Arial"/>
        </w:rPr>
        <w:t xml:space="preserve">.  </w:t>
      </w:r>
      <w:r w:rsidR="00555FD4">
        <w:rPr>
          <w:rFonts w:ascii="Verdana" w:hAnsi="Verdana" w:cs="Arial"/>
        </w:rPr>
        <w:t>F</w:t>
      </w:r>
      <w:r w:rsidR="00F60F35" w:rsidRPr="00277F61">
        <w:rPr>
          <w:rFonts w:ascii="Verdana" w:hAnsi="Verdana" w:cs="Arial"/>
        </w:rPr>
        <w:t xml:space="preserve">undamental standards </w:t>
      </w:r>
      <w:r w:rsidR="00555FD4">
        <w:rPr>
          <w:rFonts w:ascii="Verdana" w:hAnsi="Verdana" w:cs="Arial"/>
        </w:rPr>
        <w:t xml:space="preserve">were set </w:t>
      </w:r>
      <w:r w:rsidR="00F60F35" w:rsidRPr="00277F61">
        <w:rPr>
          <w:rFonts w:ascii="Verdana" w:hAnsi="Verdana" w:cs="Arial"/>
        </w:rPr>
        <w:t xml:space="preserve">for ISIF </w:t>
      </w:r>
      <w:r w:rsidR="00555FD4">
        <w:rPr>
          <w:rFonts w:ascii="Verdana" w:hAnsi="Verdana" w:cs="Arial"/>
        </w:rPr>
        <w:t>to</w:t>
      </w:r>
      <w:r w:rsidR="00F60F35" w:rsidRPr="00277F61">
        <w:rPr>
          <w:rFonts w:ascii="Verdana" w:hAnsi="Verdana" w:cs="Arial"/>
        </w:rPr>
        <w:t xml:space="preserve"> bring settlement proposals to the attention of the Industrial Commission.  </w:t>
      </w:r>
      <w:r w:rsidR="00584C2F" w:rsidRPr="00277F61">
        <w:rPr>
          <w:rFonts w:ascii="Verdana" w:hAnsi="Verdana" w:cs="Arial"/>
        </w:rPr>
        <w:t>As a result</w:t>
      </w:r>
      <w:r w:rsidR="00F60F35" w:rsidRPr="00277F61">
        <w:rPr>
          <w:rFonts w:ascii="Verdana" w:hAnsi="Verdana" w:cs="Arial"/>
        </w:rPr>
        <w:t xml:space="preserve">, the ISIF must now concede all issues of liability before a settlement can be </w:t>
      </w:r>
      <w:r w:rsidR="000A5B4E" w:rsidRPr="00277F61">
        <w:rPr>
          <w:rFonts w:ascii="Verdana" w:hAnsi="Verdana" w:cs="Arial"/>
        </w:rPr>
        <w:t xml:space="preserve">negotiated, prepared and </w:t>
      </w:r>
      <w:r w:rsidR="00F60F35" w:rsidRPr="00277F61">
        <w:rPr>
          <w:rFonts w:ascii="Verdana" w:hAnsi="Verdana" w:cs="Arial"/>
        </w:rPr>
        <w:t xml:space="preserve">delivered to the Commission for review and ultimate approval.  This process has necessarily resulted in </w:t>
      </w:r>
      <w:r w:rsidR="00E74CB6" w:rsidRPr="00277F61">
        <w:rPr>
          <w:rFonts w:ascii="Verdana" w:hAnsi="Verdana" w:cs="Arial"/>
        </w:rPr>
        <w:t xml:space="preserve">more </w:t>
      </w:r>
      <w:r w:rsidR="00F60F35" w:rsidRPr="00277F61">
        <w:rPr>
          <w:rFonts w:ascii="Verdana" w:hAnsi="Verdana" w:cs="Arial"/>
        </w:rPr>
        <w:t xml:space="preserve">complex </w:t>
      </w:r>
      <w:r w:rsidR="00E74CB6" w:rsidRPr="00277F61">
        <w:rPr>
          <w:rFonts w:ascii="Verdana" w:hAnsi="Verdana" w:cs="Arial"/>
        </w:rPr>
        <w:t>procedures</w:t>
      </w:r>
      <w:r w:rsidR="00555FD4">
        <w:rPr>
          <w:rFonts w:ascii="Verdana" w:hAnsi="Verdana" w:cs="Arial"/>
        </w:rPr>
        <w:t>, which include</w:t>
      </w:r>
      <w:r w:rsidR="000A5B4E" w:rsidRPr="00277F61">
        <w:rPr>
          <w:rFonts w:ascii="Verdana" w:hAnsi="Verdana" w:cs="Arial"/>
        </w:rPr>
        <w:t xml:space="preserve"> </w:t>
      </w:r>
      <w:r w:rsidR="00107544" w:rsidRPr="00277F61">
        <w:rPr>
          <w:rFonts w:ascii="Verdana" w:hAnsi="Verdana" w:cs="Arial"/>
        </w:rPr>
        <w:t xml:space="preserve">a longer </w:t>
      </w:r>
      <w:r w:rsidR="000A5B4E" w:rsidRPr="00277F61">
        <w:rPr>
          <w:rFonts w:ascii="Verdana" w:hAnsi="Verdana" w:cs="Arial"/>
        </w:rPr>
        <w:t xml:space="preserve">pre-hearing </w:t>
      </w:r>
      <w:r w:rsidR="00107544" w:rsidRPr="00277F61">
        <w:rPr>
          <w:rFonts w:ascii="Verdana" w:hAnsi="Verdana" w:cs="Arial"/>
        </w:rPr>
        <w:t>investigation process</w:t>
      </w:r>
      <w:r w:rsidR="00C76558">
        <w:rPr>
          <w:rFonts w:ascii="Verdana" w:hAnsi="Verdana" w:cs="Arial"/>
        </w:rPr>
        <w:t xml:space="preserve"> to more fully </w:t>
      </w:r>
      <w:r w:rsidR="00431F06" w:rsidRPr="00277F61">
        <w:rPr>
          <w:rFonts w:ascii="Verdana" w:hAnsi="Verdana" w:cs="Arial"/>
        </w:rPr>
        <w:t>evalu</w:t>
      </w:r>
      <w:r w:rsidR="0035348E" w:rsidRPr="00277F61">
        <w:rPr>
          <w:rFonts w:ascii="Verdana" w:hAnsi="Verdana" w:cs="Arial"/>
        </w:rPr>
        <w:t>a</w:t>
      </w:r>
      <w:r w:rsidR="00431F06" w:rsidRPr="00277F61">
        <w:rPr>
          <w:rFonts w:ascii="Verdana" w:hAnsi="Verdana" w:cs="Arial"/>
        </w:rPr>
        <w:t>t</w:t>
      </w:r>
      <w:r w:rsidR="00F92F80">
        <w:rPr>
          <w:rFonts w:ascii="Verdana" w:hAnsi="Verdana" w:cs="Arial"/>
        </w:rPr>
        <w:t>e</w:t>
      </w:r>
      <w:r w:rsidR="000C3962" w:rsidRPr="00277F61">
        <w:rPr>
          <w:rFonts w:ascii="Verdana" w:hAnsi="Verdana" w:cs="Arial"/>
        </w:rPr>
        <w:t xml:space="preserve"> </w:t>
      </w:r>
      <w:r w:rsidR="00F60F35" w:rsidRPr="00277F61">
        <w:rPr>
          <w:rFonts w:ascii="Verdana" w:hAnsi="Verdana" w:cs="Arial"/>
        </w:rPr>
        <w:t>all</w:t>
      </w:r>
      <w:r w:rsidR="000C3962" w:rsidRPr="00277F61">
        <w:rPr>
          <w:rFonts w:ascii="Verdana" w:hAnsi="Verdana" w:cs="Arial"/>
        </w:rPr>
        <w:t xml:space="preserve"> issues</w:t>
      </w:r>
      <w:r w:rsidR="00BB73AE" w:rsidRPr="00277F61">
        <w:rPr>
          <w:rFonts w:ascii="Verdana" w:hAnsi="Verdana" w:cs="Arial"/>
        </w:rPr>
        <w:t xml:space="preserve"> and aspects</w:t>
      </w:r>
      <w:r w:rsidR="00F60F35" w:rsidRPr="00277F61">
        <w:rPr>
          <w:rFonts w:ascii="Verdana" w:hAnsi="Verdana" w:cs="Arial"/>
        </w:rPr>
        <w:t xml:space="preserve"> of liabili</w:t>
      </w:r>
      <w:r w:rsidR="00107544" w:rsidRPr="00277F61">
        <w:rPr>
          <w:rFonts w:ascii="Verdana" w:hAnsi="Verdana" w:cs="Arial"/>
        </w:rPr>
        <w:t>ty on the part of ISIF</w:t>
      </w:r>
      <w:r w:rsidR="000C3962" w:rsidRPr="00277F61">
        <w:rPr>
          <w:rFonts w:ascii="Verdana" w:hAnsi="Verdana" w:cs="Arial"/>
        </w:rPr>
        <w:t xml:space="preserve">.  If liability is </w:t>
      </w:r>
      <w:r w:rsidR="001568FB" w:rsidRPr="00277F61">
        <w:rPr>
          <w:rFonts w:ascii="Verdana" w:hAnsi="Verdana" w:cs="Arial"/>
        </w:rPr>
        <w:t>clearly established</w:t>
      </w:r>
      <w:r w:rsidR="000C3962" w:rsidRPr="00277F61">
        <w:rPr>
          <w:rFonts w:ascii="Verdana" w:hAnsi="Verdana" w:cs="Arial"/>
        </w:rPr>
        <w:t>, then</w:t>
      </w:r>
      <w:r w:rsidR="00107544" w:rsidRPr="00277F61">
        <w:rPr>
          <w:rFonts w:ascii="Verdana" w:hAnsi="Verdana" w:cs="Arial"/>
        </w:rPr>
        <w:t xml:space="preserve"> </w:t>
      </w:r>
      <w:r w:rsidR="000C3962" w:rsidRPr="00277F61">
        <w:rPr>
          <w:rFonts w:ascii="Verdana" w:hAnsi="Verdana" w:cs="Arial"/>
        </w:rPr>
        <w:t xml:space="preserve">settlement </w:t>
      </w:r>
      <w:r w:rsidR="00107544" w:rsidRPr="00277F61">
        <w:rPr>
          <w:rFonts w:ascii="Verdana" w:hAnsi="Verdana" w:cs="Arial"/>
        </w:rPr>
        <w:t xml:space="preserve">negotiation </w:t>
      </w:r>
      <w:r w:rsidR="00E74CB6" w:rsidRPr="00277F61">
        <w:rPr>
          <w:rFonts w:ascii="Verdana" w:hAnsi="Verdana" w:cs="Arial"/>
        </w:rPr>
        <w:t xml:space="preserve">can </w:t>
      </w:r>
      <w:r w:rsidR="00107544" w:rsidRPr="00277F61">
        <w:rPr>
          <w:rFonts w:ascii="Verdana" w:hAnsi="Verdana" w:cs="Arial"/>
        </w:rPr>
        <w:t>go forward</w:t>
      </w:r>
      <w:r w:rsidR="000C3962" w:rsidRPr="00277F61">
        <w:rPr>
          <w:rFonts w:ascii="Verdana" w:hAnsi="Verdana" w:cs="Arial"/>
        </w:rPr>
        <w:t xml:space="preserve">.  Following </w:t>
      </w:r>
      <w:r w:rsidR="00B50419" w:rsidRPr="00277F61">
        <w:rPr>
          <w:rFonts w:ascii="Verdana" w:hAnsi="Verdana" w:cs="Arial"/>
        </w:rPr>
        <w:t>a</w:t>
      </w:r>
      <w:r w:rsidR="000C3962" w:rsidRPr="00277F61">
        <w:rPr>
          <w:rFonts w:ascii="Verdana" w:hAnsi="Verdana" w:cs="Arial"/>
        </w:rPr>
        <w:t xml:space="preserve"> successful </w:t>
      </w:r>
      <w:r w:rsidR="001C0158">
        <w:rPr>
          <w:rFonts w:ascii="Verdana" w:hAnsi="Verdana" w:cs="Arial"/>
        </w:rPr>
        <w:t>resolution</w:t>
      </w:r>
      <w:r w:rsidR="000C3962" w:rsidRPr="00277F61">
        <w:rPr>
          <w:rFonts w:ascii="Verdana" w:hAnsi="Verdana" w:cs="Arial"/>
        </w:rPr>
        <w:t xml:space="preserve">, </w:t>
      </w:r>
      <w:r w:rsidR="00BB73AE" w:rsidRPr="00277F61">
        <w:rPr>
          <w:rFonts w:ascii="Verdana" w:hAnsi="Verdana" w:cs="Arial"/>
        </w:rPr>
        <w:t>the</w:t>
      </w:r>
      <w:r w:rsidR="00107544" w:rsidRPr="00277F61">
        <w:rPr>
          <w:rFonts w:ascii="Verdana" w:hAnsi="Verdana" w:cs="Arial"/>
        </w:rPr>
        <w:t xml:space="preserve"> settlement document </w:t>
      </w:r>
      <w:r w:rsidR="000C3962" w:rsidRPr="00277F61">
        <w:rPr>
          <w:rFonts w:ascii="Verdana" w:hAnsi="Verdana" w:cs="Arial"/>
        </w:rPr>
        <w:t xml:space="preserve">is prepared and </w:t>
      </w:r>
      <w:r w:rsidR="00F60F35" w:rsidRPr="00277F61">
        <w:rPr>
          <w:rFonts w:ascii="Verdana" w:hAnsi="Verdana" w:cs="Arial"/>
        </w:rPr>
        <w:t>present</w:t>
      </w:r>
      <w:r w:rsidR="000A5B4E" w:rsidRPr="00277F61">
        <w:rPr>
          <w:rFonts w:ascii="Verdana" w:hAnsi="Verdana" w:cs="Arial"/>
        </w:rPr>
        <w:t>ed</w:t>
      </w:r>
      <w:r w:rsidR="00F60F35" w:rsidRPr="00277F61">
        <w:rPr>
          <w:rFonts w:ascii="Verdana" w:hAnsi="Verdana" w:cs="Arial"/>
        </w:rPr>
        <w:t xml:space="preserve"> </w:t>
      </w:r>
      <w:r w:rsidR="000C3962" w:rsidRPr="00277F61">
        <w:rPr>
          <w:rFonts w:ascii="Verdana" w:hAnsi="Verdana" w:cs="Arial"/>
        </w:rPr>
        <w:t>to the Commission</w:t>
      </w:r>
      <w:r w:rsidR="00D2650D" w:rsidRPr="00277F61">
        <w:rPr>
          <w:rFonts w:ascii="Verdana" w:hAnsi="Verdana" w:cs="Arial"/>
        </w:rPr>
        <w:t>ers</w:t>
      </w:r>
      <w:r w:rsidR="000C3962" w:rsidRPr="00277F61">
        <w:rPr>
          <w:rFonts w:ascii="Verdana" w:hAnsi="Verdana" w:cs="Arial"/>
        </w:rPr>
        <w:t xml:space="preserve"> </w:t>
      </w:r>
      <w:r w:rsidR="00F60F35" w:rsidRPr="00277F61">
        <w:rPr>
          <w:rFonts w:ascii="Verdana" w:hAnsi="Verdana" w:cs="Arial"/>
        </w:rPr>
        <w:t xml:space="preserve">for </w:t>
      </w:r>
      <w:r w:rsidR="0035348E" w:rsidRPr="00277F61">
        <w:rPr>
          <w:rFonts w:ascii="Verdana" w:hAnsi="Verdana" w:cs="Arial"/>
        </w:rPr>
        <w:t xml:space="preserve">final </w:t>
      </w:r>
      <w:r w:rsidR="00F60F35" w:rsidRPr="00277F61">
        <w:rPr>
          <w:rFonts w:ascii="Verdana" w:hAnsi="Verdana" w:cs="Arial"/>
        </w:rPr>
        <w:t>approval.</w:t>
      </w:r>
    </w:p>
    <w:p w:rsidR="00E47E5D" w:rsidRDefault="00C17D70" w:rsidP="004A52BA">
      <w:pPr>
        <w:pStyle w:val="NoSpacing"/>
        <w:jc w:val="both"/>
        <w:rPr>
          <w:rFonts w:ascii="Verdana" w:hAnsi="Verdana" w:cs="Arial"/>
        </w:rPr>
      </w:pPr>
      <w:r w:rsidRPr="00277F61">
        <w:rPr>
          <w:rFonts w:ascii="Verdana" w:hAnsi="Verdana" w:cs="Arial"/>
        </w:rPr>
        <w:tab/>
      </w:r>
      <w:r w:rsidR="00C76558">
        <w:rPr>
          <w:rFonts w:ascii="Verdana" w:hAnsi="Verdana" w:cs="Arial"/>
        </w:rPr>
        <w:t xml:space="preserve">As mentioned previously, one type of resolution is the one-time lump sum payment to the worker.  </w:t>
      </w:r>
      <w:r w:rsidR="003D0666" w:rsidRPr="00277F61">
        <w:rPr>
          <w:rFonts w:ascii="Verdana" w:hAnsi="Verdana" w:cs="Arial"/>
        </w:rPr>
        <w:t>T</w:t>
      </w:r>
      <w:r w:rsidR="00F60F35" w:rsidRPr="00277F61">
        <w:rPr>
          <w:rFonts w:ascii="Verdana" w:hAnsi="Verdana" w:cs="Arial"/>
        </w:rPr>
        <w:t xml:space="preserve">he </w:t>
      </w:r>
      <w:r w:rsidR="00C76558">
        <w:rPr>
          <w:rFonts w:ascii="Verdana" w:hAnsi="Verdana" w:cs="Arial"/>
        </w:rPr>
        <w:t xml:space="preserve">total annual </w:t>
      </w:r>
      <w:r w:rsidR="00F60F35" w:rsidRPr="00277F61">
        <w:rPr>
          <w:rFonts w:ascii="Verdana" w:hAnsi="Verdana" w:cs="Arial"/>
        </w:rPr>
        <w:t>amount</w:t>
      </w:r>
      <w:r w:rsidR="00C20D09" w:rsidRPr="00277F61">
        <w:rPr>
          <w:rFonts w:ascii="Verdana" w:hAnsi="Verdana" w:cs="Arial"/>
        </w:rPr>
        <w:t xml:space="preserve"> </w:t>
      </w:r>
      <w:r w:rsidR="00F60F35" w:rsidRPr="00277F61">
        <w:rPr>
          <w:rFonts w:ascii="Verdana" w:hAnsi="Verdana" w:cs="Arial"/>
        </w:rPr>
        <w:t xml:space="preserve">of </w:t>
      </w:r>
      <w:r w:rsidR="00C76558">
        <w:rPr>
          <w:rFonts w:ascii="Verdana" w:hAnsi="Verdana" w:cs="Arial"/>
        </w:rPr>
        <w:t>these</w:t>
      </w:r>
      <w:r w:rsidR="00BB73AE" w:rsidRPr="00277F61">
        <w:rPr>
          <w:rFonts w:ascii="Verdana" w:hAnsi="Verdana" w:cs="Arial"/>
        </w:rPr>
        <w:t xml:space="preserve"> payments </w:t>
      </w:r>
      <w:r w:rsidR="003D0666" w:rsidRPr="00277F61">
        <w:rPr>
          <w:rFonts w:ascii="Verdana" w:hAnsi="Verdana" w:cs="Arial"/>
        </w:rPr>
        <w:t xml:space="preserve">since 2009 is shown in the chart </w:t>
      </w:r>
      <w:r w:rsidR="009A16FE">
        <w:rPr>
          <w:rFonts w:ascii="Verdana" w:hAnsi="Verdana" w:cs="Arial"/>
        </w:rPr>
        <w:t>below.</w:t>
      </w:r>
    </w:p>
    <w:p w:rsidR="009A16FE" w:rsidRDefault="009A16FE" w:rsidP="004A52BA">
      <w:pPr>
        <w:pStyle w:val="NoSpacing"/>
        <w:jc w:val="both"/>
        <w:rPr>
          <w:rFonts w:ascii="Verdana" w:hAnsi="Verdana" w:cs="Arial"/>
        </w:rPr>
      </w:pPr>
    </w:p>
    <w:p w:rsidR="009A16FE" w:rsidRDefault="009A16FE" w:rsidP="004A52BA">
      <w:pPr>
        <w:pStyle w:val="NoSpacing"/>
        <w:jc w:val="both"/>
        <w:rPr>
          <w:rFonts w:ascii="Verdana" w:hAnsi="Verdana" w:cs="Arial"/>
        </w:rPr>
      </w:pPr>
    </w:p>
    <w:tbl>
      <w:tblPr>
        <w:tblW w:w="15391" w:type="dxa"/>
        <w:tblInd w:w="108" w:type="dxa"/>
        <w:tblLook w:val="04A0" w:firstRow="1" w:lastRow="0" w:firstColumn="1" w:lastColumn="0" w:noHBand="0" w:noVBand="1"/>
      </w:tblPr>
      <w:tblGrid>
        <w:gridCol w:w="976"/>
        <w:gridCol w:w="5079"/>
        <w:gridCol w:w="222"/>
        <w:gridCol w:w="222"/>
        <w:gridCol w:w="222"/>
        <w:gridCol w:w="222"/>
        <w:gridCol w:w="1868"/>
        <w:gridCol w:w="1868"/>
        <w:gridCol w:w="1868"/>
        <w:gridCol w:w="1868"/>
        <w:gridCol w:w="976"/>
      </w:tblGrid>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sz w:val="24"/>
                <w:szCs w:val="24"/>
              </w:rPr>
            </w:pPr>
          </w:p>
        </w:tc>
        <w:tc>
          <w:tcPr>
            <w:tcW w:w="5967" w:type="dxa"/>
            <w:gridSpan w:val="5"/>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b/>
                <w:bCs/>
                <w:color w:val="000000"/>
              </w:rPr>
            </w:pPr>
            <w:r w:rsidRPr="009A16FE">
              <w:rPr>
                <w:rFonts w:ascii="Verdana" w:eastAsia="Times New Roman" w:hAnsi="Verdana" w:cs="Calibri"/>
                <w:b/>
                <w:bCs/>
                <w:color w:val="000000"/>
              </w:rPr>
              <w:t xml:space="preserve">                          Lump Sum Settlements  FY</w:t>
            </w:r>
          </w:p>
        </w:tc>
        <w:tc>
          <w:tcPr>
            <w:tcW w:w="1868"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b/>
                <w:bCs/>
                <w:color w:val="000000"/>
              </w:rPr>
            </w:pPr>
          </w:p>
        </w:tc>
        <w:tc>
          <w:tcPr>
            <w:tcW w:w="1868"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1868"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1868"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r>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center"/>
              <w:rPr>
                <w:rFonts w:ascii="Verdana" w:eastAsia="Times New Roman" w:hAnsi="Verdana" w:cs="Calibri"/>
                <w:color w:val="000000"/>
              </w:rPr>
            </w:pPr>
            <w:r w:rsidRPr="009A16FE">
              <w:rPr>
                <w:rFonts w:ascii="Verdana" w:eastAsia="Times New Roman" w:hAnsi="Verdana" w:cs="Calibri"/>
                <w:color w:val="000000"/>
              </w:rPr>
              <w:t>2009</w:t>
            </w:r>
          </w:p>
        </w:tc>
        <w:tc>
          <w:tcPr>
            <w:tcW w:w="5079"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r w:rsidRPr="009A16FE">
              <w:rPr>
                <w:rFonts w:ascii="Verdana" w:eastAsia="Times New Roman" w:hAnsi="Verdana" w:cs="Calibri"/>
                <w:color w:val="000000"/>
              </w:rPr>
              <w:t>997,703</w:t>
            </w:r>
          </w:p>
        </w:tc>
        <w:tc>
          <w:tcPr>
            <w:tcW w:w="8360" w:type="dxa"/>
            <w:gridSpan w:val="8"/>
            <w:vMerge w:val="restart"/>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r w:rsidRPr="009A16FE">
              <w:rPr>
                <w:rFonts w:ascii="Verdana" w:eastAsia="Times New Roman" w:hAnsi="Verdana" w:cs="Calibri"/>
                <w:noProof/>
                <w:color w:val="000000"/>
              </w:rPr>
              <w:drawing>
                <wp:anchor distT="0" distB="0" distL="114300" distR="114300" simplePos="0" relativeHeight="251652608" behindDoc="0" locked="0" layoutInCell="1" allowOverlap="1">
                  <wp:simplePos x="0" y="0"/>
                  <wp:positionH relativeFrom="column">
                    <wp:posOffset>-2452370</wp:posOffset>
                  </wp:positionH>
                  <wp:positionV relativeFrom="paragraph">
                    <wp:posOffset>-1667510</wp:posOffset>
                  </wp:positionV>
                  <wp:extent cx="4919980" cy="2065020"/>
                  <wp:effectExtent l="0" t="0" r="13970" b="11430"/>
                  <wp:wrapNone/>
                  <wp:docPr id="8" name="Chart 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p>
        </w:tc>
      </w:tr>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center"/>
              <w:rPr>
                <w:rFonts w:ascii="Verdana" w:eastAsia="Times New Roman" w:hAnsi="Verdana" w:cs="Calibri"/>
                <w:color w:val="000000"/>
              </w:rPr>
            </w:pPr>
            <w:r w:rsidRPr="009A16FE">
              <w:rPr>
                <w:rFonts w:ascii="Verdana" w:eastAsia="Times New Roman" w:hAnsi="Verdana" w:cs="Calibri"/>
                <w:color w:val="000000"/>
              </w:rPr>
              <w:t>10</w:t>
            </w:r>
          </w:p>
        </w:tc>
        <w:tc>
          <w:tcPr>
            <w:tcW w:w="5079"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r w:rsidRPr="009A16FE">
              <w:rPr>
                <w:rFonts w:ascii="Verdana" w:eastAsia="Times New Roman" w:hAnsi="Verdana" w:cs="Calibri"/>
                <w:color w:val="000000"/>
              </w:rPr>
              <w:t>1,403,740</w:t>
            </w:r>
          </w:p>
        </w:tc>
        <w:tc>
          <w:tcPr>
            <w:tcW w:w="8360" w:type="dxa"/>
            <w:gridSpan w:val="8"/>
            <w:vMerge/>
            <w:tcBorders>
              <w:top w:val="nil"/>
              <w:left w:val="nil"/>
              <w:bottom w:val="nil"/>
              <w:right w:val="nil"/>
            </w:tcBorders>
            <w:vAlign w:val="center"/>
            <w:hideMark/>
          </w:tcPr>
          <w:p w:rsidR="009A16FE" w:rsidRPr="009A16FE" w:rsidRDefault="009A16FE" w:rsidP="009A16FE">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right"/>
              <w:rPr>
                <w:rFonts w:ascii="Verdana" w:eastAsia="Times New Roman" w:hAnsi="Verdana" w:cs="Calibri"/>
                <w:color w:val="000000"/>
              </w:rPr>
            </w:pPr>
          </w:p>
        </w:tc>
      </w:tr>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center"/>
              <w:rPr>
                <w:rFonts w:ascii="Verdana" w:eastAsia="Times New Roman" w:hAnsi="Verdana" w:cs="Calibri"/>
                <w:color w:val="000000"/>
              </w:rPr>
            </w:pPr>
            <w:r w:rsidRPr="009A16FE">
              <w:rPr>
                <w:rFonts w:ascii="Verdana" w:eastAsia="Times New Roman" w:hAnsi="Verdana" w:cs="Calibri"/>
                <w:color w:val="000000"/>
              </w:rPr>
              <w:t>11</w:t>
            </w:r>
          </w:p>
        </w:tc>
        <w:tc>
          <w:tcPr>
            <w:tcW w:w="5079"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r w:rsidRPr="009A16FE">
              <w:rPr>
                <w:rFonts w:ascii="Verdana" w:eastAsia="Times New Roman" w:hAnsi="Verdana" w:cs="Calibri"/>
                <w:color w:val="000000"/>
              </w:rPr>
              <w:t>1,220,574</w:t>
            </w:r>
          </w:p>
        </w:tc>
        <w:tc>
          <w:tcPr>
            <w:tcW w:w="8360" w:type="dxa"/>
            <w:gridSpan w:val="8"/>
            <w:vMerge/>
            <w:tcBorders>
              <w:top w:val="nil"/>
              <w:left w:val="nil"/>
              <w:bottom w:val="nil"/>
              <w:right w:val="nil"/>
            </w:tcBorders>
            <w:vAlign w:val="center"/>
            <w:hideMark/>
          </w:tcPr>
          <w:p w:rsidR="009A16FE" w:rsidRPr="009A16FE" w:rsidRDefault="009A16FE" w:rsidP="009A16FE">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right"/>
              <w:rPr>
                <w:rFonts w:ascii="Verdana" w:eastAsia="Times New Roman" w:hAnsi="Verdana" w:cs="Calibri"/>
                <w:color w:val="000000"/>
              </w:rPr>
            </w:pPr>
          </w:p>
        </w:tc>
      </w:tr>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center"/>
              <w:rPr>
                <w:rFonts w:ascii="Verdana" w:eastAsia="Times New Roman" w:hAnsi="Verdana" w:cs="Calibri"/>
                <w:color w:val="000000"/>
              </w:rPr>
            </w:pPr>
            <w:r w:rsidRPr="009A16FE">
              <w:rPr>
                <w:rFonts w:ascii="Verdana" w:eastAsia="Times New Roman" w:hAnsi="Verdana" w:cs="Calibri"/>
                <w:color w:val="000000"/>
              </w:rPr>
              <w:t>12</w:t>
            </w:r>
          </w:p>
        </w:tc>
        <w:tc>
          <w:tcPr>
            <w:tcW w:w="5079"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r w:rsidRPr="009A16FE">
              <w:rPr>
                <w:rFonts w:ascii="Verdana" w:eastAsia="Times New Roman" w:hAnsi="Verdana" w:cs="Calibri"/>
                <w:color w:val="000000"/>
              </w:rPr>
              <w:t>967,283</w:t>
            </w:r>
          </w:p>
        </w:tc>
        <w:tc>
          <w:tcPr>
            <w:tcW w:w="8360" w:type="dxa"/>
            <w:gridSpan w:val="8"/>
            <w:vMerge/>
            <w:tcBorders>
              <w:top w:val="nil"/>
              <w:left w:val="nil"/>
              <w:bottom w:val="nil"/>
              <w:right w:val="nil"/>
            </w:tcBorders>
            <w:vAlign w:val="center"/>
            <w:hideMark/>
          </w:tcPr>
          <w:p w:rsidR="009A16FE" w:rsidRPr="009A16FE" w:rsidRDefault="009A16FE" w:rsidP="009A16FE">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right"/>
              <w:rPr>
                <w:rFonts w:ascii="Verdana" w:eastAsia="Times New Roman" w:hAnsi="Verdana" w:cs="Calibri"/>
                <w:color w:val="000000"/>
              </w:rPr>
            </w:pPr>
          </w:p>
        </w:tc>
      </w:tr>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center"/>
              <w:rPr>
                <w:rFonts w:ascii="Verdana" w:eastAsia="Times New Roman" w:hAnsi="Verdana" w:cs="Calibri"/>
                <w:color w:val="000000"/>
              </w:rPr>
            </w:pPr>
            <w:r w:rsidRPr="009A16FE">
              <w:rPr>
                <w:rFonts w:ascii="Verdana" w:eastAsia="Times New Roman" w:hAnsi="Verdana" w:cs="Calibri"/>
                <w:color w:val="000000"/>
              </w:rPr>
              <w:t>13</w:t>
            </w:r>
          </w:p>
        </w:tc>
        <w:tc>
          <w:tcPr>
            <w:tcW w:w="5079"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r w:rsidRPr="009A16FE">
              <w:rPr>
                <w:rFonts w:ascii="Verdana" w:eastAsia="Times New Roman" w:hAnsi="Verdana" w:cs="Calibri"/>
                <w:color w:val="000000"/>
              </w:rPr>
              <w:t>1,158,971</w:t>
            </w:r>
          </w:p>
        </w:tc>
        <w:tc>
          <w:tcPr>
            <w:tcW w:w="8360" w:type="dxa"/>
            <w:gridSpan w:val="8"/>
            <w:vMerge/>
            <w:tcBorders>
              <w:top w:val="nil"/>
              <w:left w:val="nil"/>
              <w:bottom w:val="nil"/>
              <w:right w:val="nil"/>
            </w:tcBorders>
            <w:vAlign w:val="center"/>
            <w:hideMark/>
          </w:tcPr>
          <w:p w:rsidR="009A16FE" w:rsidRPr="009A16FE" w:rsidRDefault="009A16FE" w:rsidP="009A16FE">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right"/>
              <w:rPr>
                <w:rFonts w:ascii="Verdana" w:eastAsia="Times New Roman" w:hAnsi="Verdana" w:cs="Calibri"/>
                <w:color w:val="000000"/>
              </w:rPr>
            </w:pPr>
          </w:p>
        </w:tc>
      </w:tr>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center"/>
              <w:rPr>
                <w:rFonts w:ascii="Verdana" w:eastAsia="Times New Roman" w:hAnsi="Verdana" w:cs="Calibri"/>
                <w:color w:val="000000"/>
              </w:rPr>
            </w:pPr>
            <w:r w:rsidRPr="009A16FE">
              <w:rPr>
                <w:rFonts w:ascii="Verdana" w:eastAsia="Times New Roman" w:hAnsi="Verdana" w:cs="Calibri"/>
                <w:color w:val="000000"/>
              </w:rPr>
              <w:t>14</w:t>
            </w:r>
          </w:p>
        </w:tc>
        <w:tc>
          <w:tcPr>
            <w:tcW w:w="5079"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r w:rsidRPr="009A16FE">
              <w:rPr>
                <w:rFonts w:ascii="Verdana" w:eastAsia="Times New Roman" w:hAnsi="Verdana" w:cs="Calibri"/>
                <w:color w:val="000000"/>
              </w:rPr>
              <w:t>889,300</w:t>
            </w:r>
          </w:p>
        </w:tc>
        <w:tc>
          <w:tcPr>
            <w:tcW w:w="8360" w:type="dxa"/>
            <w:gridSpan w:val="8"/>
            <w:vMerge/>
            <w:tcBorders>
              <w:top w:val="nil"/>
              <w:left w:val="nil"/>
              <w:bottom w:val="nil"/>
              <w:right w:val="nil"/>
            </w:tcBorders>
            <w:vAlign w:val="center"/>
            <w:hideMark/>
          </w:tcPr>
          <w:p w:rsidR="009A16FE" w:rsidRPr="009A16FE" w:rsidRDefault="009A16FE" w:rsidP="009A16FE">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right"/>
              <w:rPr>
                <w:rFonts w:ascii="Verdana" w:eastAsia="Times New Roman" w:hAnsi="Verdana" w:cs="Calibri"/>
                <w:color w:val="000000"/>
              </w:rPr>
            </w:pPr>
          </w:p>
        </w:tc>
      </w:tr>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center"/>
              <w:rPr>
                <w:rFonts w:ascii="Verdana" w:eastAsia="Times New Roman" w:hAnsi="Verdana" w:cs="Calibri"/>
                <w:color w:val="000000"/>
              </w:rPr>
            </w:pPr>
            <w:r w:rsidRPr="009A16FE">
              <w:rPr>
                <w:rFonts w:ascii="Verdana" w:eastAsia="Times New Roman" w:hAnsi="Verdana" w:cs="Calibri"/>
                <w:color w:val="000000"/>
              </w:rPr>
              <w:t>15</w:t>
            </w:r>
          </w:p>
        </w:tc>
        <w:tc>
          <w:tcPr>
            <w:tcW w:w="5079"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r w:rsidRPr="009A16FE">
              <w:rPr>
                <w:rFonts w:ascii="Verdana" w:eastAsia="Times New Roman" w:hAnsi="Verdana" w:cs="Calibri"/>
                <w:color w:val="000000"/>
              </w:rPr>
              <w:t>852,800</w:t>
            </w:r>
          </w:p>
        </w:tc>
        <w:tc>
          <w:tcPr>
            <w:tcW w:w="8360" w:type="dxa"/>
            <w:gridSpan w:val="8"/>
            <w:vMerge/>
            <w:tcBorders>
              <w:top w:val="nil"/>
              <w:left w:val="nil"/>
              <w:bottom w:val="nil"/>
              <w:right w:val="nil"/>
            </w:tcBorders>
            <w:vAlign w:val="center"/>
            <w:hideMark/>
          </w:tcPr>
          <w:p w:rsidR="009A16FE" w:rsidRPr="009A16FE" w:rsidRDefault="009A16FE" w:rsidP="009A16FE">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right"/>
              <w:rPr>
                <w:rFonts w:ascii="Verdana" w:eastAsia="Times New Roman" w:hAnsi="Verdana" w:cs="Calibri"/>
                <w:color w:val="000000"/>
              </w:rPr>
            </w:pPr>
          </w:p>
        </w:tc>
      </w:tr>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center"/>
              <w:rPr>
                <w:rFonts w:ascii="Verdana" w:eastAsia="Times New Roman" w:hAnsi="Verdana" w:cs="Calibri"/>
                <w:color w:val="000000"/>
              </w:rPr>
            </w:pPr>
            <w:r w:rsidRPr="009A16FE">
              <w:rPr>
                <w:rFonts w:ascii="Verdana" w:eastAsia="Times New Roman" w:hAnsi="Verdana" w:cs="Calibri"/>
                <w:color w:val="000000"/>
              </w:rPr>
              <w:t>16</w:t>
            </w:r>
          </w:p>
        </w:tc>
        <w:tc>
          <w:tcPr>
            <w:tcW w:w="5079"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r w:rsidRPr="009A16FE">
              <w:rPr>
                <w:rFonts w:ascii="Verdana" w:eastAsia="Times New Roman" w:hAnsi="Verdana" w:cs="Calibri"/>
                <w:color w:val="000000"/>
              </w:rPr>
              <w:t>820,000</w:t>
            </w:r>
          </w:p>
        </w:tc>
        <w:tc>
          <w:tcPr>
            <w:tcW w:w="8360" w:type="dxa"/>
            <w:gridSpan w:val="8"/>
            <w:vMerge/>
            <w:tcBorders>
              <w:top w:val="nil"/>
              <w:left w:val="nil"/>
              <w:bottom w:val="nil"/>
              <w:right w:val="nil"/>
            </w:tcBorders>
            <w:vAlign w:val="center"/>
            <w:hideMark/>
          </w:tcPr>
          <w:p w:rsidR="009A16FE" w:rsidRPr="009A16FE" w:rsidRDefault="009A16FE" w:rsidP="009A16FE">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right"/>
              <w:rPr>
                <w:rFonts w:ascii="Verdana" w:eastAsia="Times New Roman" w:hAnsi="Verdana" w:cs="Calibri"/>
                <w:color w:val="000000"/>
              </w:rPr>
            </w:pPr>
          </w:p>
        </w:tc>
      </w:tr>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center"/>
              <w:rPr>
                <w:rFonts w:ascii="Verdana" w:eastAsia="Times New Roman" w:hAnsi="Verdana" w:cs="Calibri"/>
                <w:color w:val="000000"/>
              </w:rPr>
            </w:pPr>
            <w:r w:rsidRPr="009A16FE">
              <w:rPr>
                <w:rFonts w:ascii="Verdana" w:eastAsia="Times New Roman" w:hAnsi="Verdana" w:cs="Calibri"/>
                <w:color w:val="000000"/>
              </w:rPr>
              <w:t>17</w:t>
            </w:r>
          </w:p>
        </w:tc>
        <w:tc>
          <w:tcPr>
            <w:tcW w:w="5079"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r w:rsidRPr="009A16FE">
              <w:rPr>
                <w:rFonts w:ascii="Verdana" w:eastAsia="Times New Roman" w:hAnsi="Verdana" w:cs="Calibri"/>
                <w:color w:val="000000"/>
              </w:rPr>
              <w:t>357,250</w:t>
            </w:r>
          </w:p>
        </w:tc>
        <w:tc>
          <w:tcPr>
            <w:tcW w:w="8360" w:type="dxa"/>
            <w:gridSpan w:val="8"/>
            <w:vMerge/>
            <w:tcBorders>
              <w:top w:val="nil"/>
              <w:left w:val="nil"/>
              <w:bottom w:val="nil"/>
              <w:right w:val="nil"/>
            </w:tcBorders>
            <w:vAlign w:val="center"/>
            <w:hideMark/>
          </w:tcPr>
          <w:p w:rsidR="009A16FE" w:rsidRPr="009A16FE" w:rsidRDefault="009A16FE" w:rsidP="009A16FE">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right"/>
              <w:rPr>
                <w:rFonts w:ascii="Verdana" w:eastAsia="Times New Roman" w:hAnsi="Verdana" w:cs="Calibri"/>
                <w:color w:val="000000"/>
              </w:rPr>
            </w:pPr>
          </w:p>
        </w:tc>
      </w:tr>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center"/>
              <w:rPr>
                <w:rFonts w:ascii="Verdana" w:eastAsia="Times New Roman" w:hAnsi="Verdana" w:cs="Calibri"/>
                <w:color w:val="000000"/>
              </w:rPr>
            </w:pPr>
            <w:r w:rsidRPr="009A16FE">
              <w:rPr>
                <w:rFonts w:ascii="Verdana" w:eastAsia="Times New Roman" w:hAnsi="Verdana" w:cs="Calibri"/>
                <w:color w:val="000000"/>
              </w:rPr>
              <w:t>18</w:t>
            </w:r>
          </w:p>
        </w:tc>
        <w:tc>
          <w:tcPr>
            <w:tcW w:w="5079"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r w:rsidRPr="009A16FE">
              <w:rPr>
                <w:rFonts w:ascii="Verdana" w:eastAsia="Times New Roman" w:hAnsi="Verdana" w:cs="Calibri"/>
                <w:color w:val="000000"/>
              </w:rPr>
              <w:t>315,200</w:t>
            </w:r>
          </w:p>
        </w:tc>
        <w:tc>
          <w:tcPr>
            <w:tcW w:w="8360" w:type="dxa"/>
            <w:gridSpan w:val="8"/>
            <w:vMerge/>
            <w:tcBorders>
              <w:top w:val="nil"/>
              <w:left w:val="nil"/>
              <w:bottom w:val="nil"/>
              <w:right w:val="nil"/>
            </w:tcBorders>
            <w:vAlign w:val="center"/>
            <w:hideMark/>
          </w:tcPr>
          <w:p w:rsidR="009A16FE" w:rsidRPr="009A16FE" w:rsidRDefault="009A16FE" w:rsidP="009A16FE">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right"/>
              <w:rPr>
                <w:rFonts w:ascii="Verdana" w:eastAsia="Times New Roman" w:hAnsi="Verdana" w:cs="Calibri"/>
                <w:color w:val="000000"/>
              </w:rPr>
            </w:pPr>
          </w:p>
        </w:tc>
      </w:tr>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center"/>
              <w:rPr>
                <w:rFonts w:ascii="Verdana" w:eastAsia="Times New Roman" w:hAnsi="Verdana" w:cs="Calibri"/>
                <w:color w:val="000000"/>
              </w:rPr>
            </w:pPr>
            <w:r w:rsidRPr="009A16FE">
              <w:rPr>
                <w:rFonts w:ascii="Verdana" w:eastAsia="Times New Roman" w:hAnsi="Verdana" w:cs="Calibri"/>
                <w:color w:val="000000"/>
              </w:rPr>
              <w:t>19</w:t>
            </w:r>
          </w:p>
        </w:tc>
        <w:tc>
          <w:tcPr>
            <w:tcW w:w="5079"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Verdana" w:eastAsia="Times New Roman" w:hAnsi="Verdana" w:cs="Calibri"/>
                <w:color w:val="000000"/>
              </w:rPr>
            </w:pPr>
            <w:r w:rsidRPr="009A16FE">
              <w:rPr>
                <w:rFonts w:ascii="Verdana" w:eastAsia="Times New Roman" w:hAnsi="Verdana" w:cs="Calibri"/>
                <w:color w:val="000000"/>
              </w:rPr>
              <w:t>391,835</w:t>
            </w:r>
          </w:p>
        </w:tc>
        <w:tc>
          <w:tcPr>
            <w:tcW w:w="8360" w:type="dxa"/>
            <w:gridSpan w:val="8"/>
            <w:vMerge/>
            <w:tcBorders>
              <w:top w:val="nil"/>
              <w:left w:val="nil"/>
              <w:bottom w:val="nil"/>
              <w:right w:val="nil"/>
            </w:tcBorders>
            <w:vAlign w:val="center"/>
            <w:hideMark/>
          </w:tcPr>
          <w:p w:rsidR="009A16FE" w:rsidRPr="009A16FE" w:rsidRDefault="009A16FE" w:rsidP="009A16FE">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jc w:val="right"/>
              <w:rPr>
                <w:rFonts w:ascii="Verdana" w:eastAsia="Times New Roman" w:hAnsi="Verdana" w:cs="Calibri"/>
                <w:color w:val="000000"/>
              </w:rPr>
            </w:pPr>
          </w:p>
        </w:tc>
      </w:tr>
      <w:tr w:rsidR="009A16FE" w:rsidRPr="009A16FE" w:rsidTr="00485891">
        <w:trPr>
          <w:trHeight w:val="300"/>
        </w:trPr>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5079"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1868"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1868"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1868"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1868"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9A16FE" w:rsidRPr="009A16FE" w:rsidRDefault="009A16FE" w:rsidP="009A16FE">
            <w:pPr>
              <w:spacing w:before="0" w:after="0" w:line="240" w:lineRule="auto"/>
              <w:rPr>
                <w:rFonts w:ascii="Times New Roman" w:eastAsia="Times New Roman" w:hAnsi="Times New Roman" w:cs="Times New Roman"/>
              </w:rPr>
            </w:pPr>
          </w:p>
        </w:tc>
      </w:tr>
    </w:tbl>
    <w:p w:rsidR="00D414CE" w:rsidRPr="00277F61" w:rsidRDefault="006D6A2E" w:rsidP="004A52BA">
      <w:pPr>
        <w:pStyle w:val="NoSpacing"/>
        <w:jc w:val="both"/>
        <w:rPr>
          <w:rFonts w:ascii="Verdana" w:hAnsi="Verdana" w:cs="Arial"/>
        </w:rPr>
      </w:pPr>
      <w:r>
        <w:rPr>
          <w:rFonts w:ascii="Verdana" w:hAnsi="Verdana" w:cs="Arial"/>
        </w:rPr>
        <w:lastRenderedPageBreak/>
        <w:tab/>
      </w:r>
      <w:r w:rsidR="006D5821">
        <w:rPr>
          <w:rFonts w:ascii="Verdana" w:hAnsi="Verdana" w:cs="Arial"/>
        </w:rPr>
        <w:t>From an initial review</w:t>
      </w:r>
      <w:r w:rsidR="00C25DC6" w:rsidRPr="00277F61">
        <w:rPr>
          <w:rFonts w:ascii="Verdana" w:hAnsi="Verdana" w:cs="Arial"/>
        </w:rPr>
        <w:t>,</w:t>
      </w:r>
      <w:r w:rsidR="00D414CE" w:rsidRPr="00277F61">
        <w:rPr>
          <w:rFonts w:ascii="Verdana" w:hAnsi="Verdana" w:cs="Arial"/>
        </w:rPr>
        <w:t xml:space="preserve"> the total amount </w:t>
      </w:r>
      <w:r w:rsidR="006A0D50">
        <w:rPr>
          <w:rFonts w:ascii="Verdana" w:hAnsi="Verdana" w:cs="Arial"/>
        </w:rPr>
        <w:t>of recent one-time settlements</w:t>
      </w:r>
      <w:r w:rsidR="00C25DC6" w:rsidRPr="00277F61">
        <w:rPr>
          <w:rFonts w:ascii="Verdana" w:hAnsi="Verdana" w:cs="Arial"/>
        </w:rPr>
        <w:t xml:space="preserve"> </w:t>
      </w:r>
      <w:r w:rsidR="00B51579">
        <w:rPr>
          <w:rFonts w:ascii="Verdana" w:hAnsi="Verdana" w:cs="Arial"/>
        </w:rPr>
        <w:t xml:space="preserve">would </w:t>
      </w:r>
      <w:r w:rsidR="00D414CE" w:rsidRPr="00277F61">
        <w:rPr>
          <w:rFonts w:ascii="Verdana" w:hAnsi="Verdana" w:cs="Arial"/>
        </w:rPr>
        <w:t xml:space="preserve">seem </w:t>
      </w:r>
      <w:r w:rsidR="00364E02">
        <w:rPr>
          <w:rFonts w:ascii="Verdana" w:hAnsi="Verdana" w:cs="Arial"/>
        </w:rPr>
        <w:t xml:space="preserve">surprisingly </w:t>
      </w:r>
      <w:r w:rsidR="007D0F74" w:rsidRPr="00277F61">
        <w:rPr>
          <w:rFonts w:ascii="Verdana" w:hAnsi="Verdana" w:cs="Arial"/>
        </w:rPr>
        <w:t xml:space="preserve">smaller than in </w:t>
      </w:r>
      <w:r w:rsidR="00C25DC6" w:rsidRPr="00277F61">
        <w:rPr>
          <w:rFonts w:ascii="Verdana" w:hAnsi="Verdana" w:cs="Arial"/>
        </w:rPr>
        <w:t>prior years.  However, the latest figure</w:t>
      </w:r>
      <w:r w:rsidR="006A0D50">
        <w:rPr>
          <w:rFonts w:ascii="Verdana" w:hAnsi="Verdana" w:cs="Arial"/>
        </w:rPr>
        <w:t>s</w:t>
      </w:r>
      <w:r w:rsidR="00C25DC6" w:rsidRPr="00277F61">
        <w:rPr>
          <w:rFonts w:ascii="Verdana" w:hAnsi="Verdana" w:cs="Arial"/>
        </w:rPr>
        <w:t xml:space="preserve"> reflect</w:t>
      </w:r>
      <w:r w:rsidR="00211976" w:rsidRPr="00277F61">
        <w:rPr>
          <w:rFonts w:ascii="Verdana" w:hAnsi="Verdana" w:cs="Arial"/>
        </w:rPr>
        <w:t xml:space="preserve"> </w:t>
      </w:r>
      <w:r w:rsidR="006A0D50">
        <w:rPr>
          <w:rFonts w:ascii="Verdana" w:hAnsi="Verdana" w:cs="Arial"/>
        </w:rPr>
        <w:t>a</w:t>
      </w:r>
      <w:r w:rsidR="00211976" w:rsidRPr="00277F61">
        <w:rPr>
          <w:rFonts w:ascii="Verdana" w:hAnsi="Verdana" w:cs="Arial"/>
        </w:rPr>
        <w:t xml:space="preserve"> re</w:t>
      </w:r>
      <w:r w:rsidR="00B51579">
        <w:rPr>
          <w:rFonts w:ascii="Verdana" w:hAnsi="Verdana" w:cs="Arial"/>
        </w:rPr>
        <w:t>organization</w:t>
      </w:r>
      <w:r w:rsidR="00211976" w:rsidRPr="00277F61">
        <w:rPr>
          <w:rFonts w:ascii="Verdana" w:hAnsi="Verdana" w:cs="Arial"/>
        </w:rPr>
        <w:t xml:space="preserve"> of</w:t>
      </w:r>
      <w:r w:rsidR="00D414CE" w:rsidRPr="00277F61">
        <w:rPr>
          <w:rFonts w:ascii="Verdana" w:hAnsi="Verdana" w:cs="Arial"/>
        </w:rPr>
        <w:t xml:space="preserve">  settlement</w:t>
      </w:r>
      <w:r w:rsidR="00B51579">
        <w:rPr>
          <w:rFonts w:ascii="Verdana" w:hAnsi="Verdana" w:cs="Arial"/>
        </w:rPr>
        <w:t xml:space="preserve"> benefits</w:t>
      </w:r>
      <w:r w:rsidR="00D414CE" w:rsidRPr="00277F61">
        <w:rPr>
          <w:rFonts w:ascii="Verdana" w:hAnsi="Verdana" w:cs="Arial"/>
        </w:rPr>
        <w:t xml:space="preserve"> </w:t>
      </w:r>
      <w:r w:rsidR="00211976" w:rsidRPr="00277F61">
        <w:rPr>
          <w:rFonts w:ascii="Verdana" w:hAnsi="Verdana" w:cs="Arial"/>
        </w:rPr>
        <w:t>away from a</w:t>
      </w:r>
      <w:r w:rsidR="007D0F74" w:rsidRPr="00277F61">
        <w:rPr>
          <w:rFonts w:ascii="Verdana" w:hAnsi="Verdana" w:cs="Arial"/>
        </w:rPr>
        <w:t xml:space="preserve"> traditional</w:t>
      </w:r>
      <w:r w:rsidR="00D414CE" w:rsidRPr="00277F61">
        <w:rPr>
          <w:rFonts w:ascii="Verdana" w:hAnsi="Verdana" w:cs="Arial"/>
        </w:rPr>
        <w:t xml:space="preserve"> one-time cash payment</w:t>
      </w:r>
      <w:r w:rsidR="007D0F74" w:rsidRPr="00277F61">
        <w:rPr>
          <w:rFonts w:ascii="Verdana" w:hAnsi="Verdana" w:cs="Arial"/>
        </w:rPr>
        <w:t xml:space="preserve"> to </w:t>
      </w:r>
      <w:r w:rsidR="00F469E2" w:rsidRPr="00277F61">
        <w:rPr>
          <w:rFonts w:ascii="Verdana" w:hAnsi="Verdana" w:cs="Arial"/>
        </w:rPr>
        <w:t>resolve</w:t>
      </w:r>
      <w:r w:rsidR="007D0F74" w:rsidRPr="00277F61">
        <w:rPr>
          <w:rFonts w:ascii="Verdana" w:hAnsi="Verdana" w:cs="Arial"/>
        </w:rPr>
        <w:t xml:space="preserve"> a claim</w:t>
      </w:r>
      <w:r w:rsidR="00D414CE" w:rsidRPr="00277F61">
        <w:rPr>
          <w:rFonts w:ascii="Verdana" w:hAnsi="Verdana" w:cs="Arial"/>
        </w:rPr>
        <w:t xml:space="preserve">.  </w:t>
      </w:r>
      <w:r w:rsidR="006A0D50">
        <w:rPr>
          <w:rFonts w:ascii="Verdana" w:hAnsi="Verdana" w:cs="Arial"/>
        </w:rPr>
        <w:t>Many</w:t>
      </w:r>
      <w:r w:rsidR="00211976" w:rsidRPr="00277F61">
        <w:rPr>
          <w:rFonts w:ascii="Verdana" w:hAnsi="Verdana" w:cs="Arial"/>
        </w:rPr>
        <w:t xml:space="preserve"> settlements </w:t>
      </w:r>
      <w:r w:rsidR="006A0D50">
        <w:rPr>
          <w:rFonts w:ascii="Verdana" w:hAnsi="Verdana" w:cs="Arial"/>
        </w:rPr>
        <w:t xml:space="preserve">now </w:t>
      </w:r>
      <w:r w:rsidR="00211976" w:rsidRPr="00277F61">
        <w:rPr>
          <w:rFonts w:ascii="Verdana" w:hAnsi="Verdana" w:cs="Arial"/>
        </w:rPr>
        <w:t xml:space="preserve">follow more closely an annuity approach, </w:t>
      </w:r>
      <w:r w:rsidR="006A0D50">
        <w:rPr>
          <w:rFonts w:ascii="Verdana" w:hAnsi="Verdana" w:cs="Arial"/>
        </w:rPr>
        <w:t xml:space="preserve">which includes </w:t>
      </w:r>
      <w:r w:rsidR="00D414CE" w:rsidRPr="00277F61">
        <w:rPr>
          <w:rFonts w:ascii="Verdana" w:hAnsi="Verdana" w:cs="Arial"/>
        </w:rPr>
        <w:t xml:space="preserve">options for cash plus monthly benefits; or cash plus a deferred payment of cash; or cash plus monthly benefits with a future </w:t>
      </w:r>
      <w:r w:rsidR="00F469E2" w:rsidRPr="00277F61">
        <w:rPr>
          <w:rFonts w:ascii="Verdana" w:hAnsi="Verdana" w:cs="Arial"/>
        </w:rPr>
        <w:t xml:space="preserve">one-time </w:t>
      </w:r>
      <w:r w:rsidR="00D414CE" w:rsidRPr="00277F61">
        <w:rPr>
          <w:rFonts w:ascii="Verdana" w:hAnsi="Verdana" w:cs="Arial"/>
        </w:rPr>
        <w:t>payment of cash</w:t>
      </w:r>
      <w:r w:rsidR="00B51579">
        <w:rPr>
          <w:rFonts w:ascii="Verdana" w:hAnsi="Verdana" w:cs="Arial"/>
        </w:rPr>
        <w:t>, or another option beneficial to the injured worker.</w:t>
      </w:r>
      <w:r w:rsidR="00D414CE" w:rsidRPr="00277F61">
        <w:rPr>
          <w:rFonts w:ascii="Verdana" w:hAnsi="Verdana" w:cs="Arial"/>
        </w:rPr>
        <w:t xml:space="preserve">   Whichever option is ultimately </w:t>
      </w:r>
      <w:r w:rsidR="007D0F74" w:rsidRPr="00277F61">
        <w:rPr>
          <w:rFonts w:ascii="Verdana" w:hAnsi="Verdana" w:cs="Arial"/>
        </w:rPr>
        <w:t>chosen for</w:t>
      </w:r>
      <w:r w:rsidR="00D414CE" w:rsidRPr="00277F61">
        <w:rPr>
          <w:rFonts w:ascii="Verdana" w:hAnsi="Verdana" w:cs="Arial"/>
        </w:rPr>
        <w:t xml:space="preserve"> settlement, it is tailored </w:t>
      </w:r>
      <w:r w:rsidR="00211976" w:rsidRPr="00277F61">
        <w:rPr>
          <w:rFonts w:ascii="Verdana" w:hAnsi="Verdana" w:cs="Arial"/>
        </w:rPr>
        <w:t xml:space="preserve">more closely </w:t>
      </w:r>
      <w:r w:rsidR="00D414CE" w:rsidRPr="00277F61">
        <w:rPr>
          <w:rFonts w:ascii="Verdana" w:hAnsi="Verdana" w:cs="Arial"/>
        </w:rPr>
        <w:t xml:space="preserve">to </w:t>
      </w:r>
      <w:r w:rsidR="00211976" w:rsidRPr="00277F61">
        <w:rPr>
          <w:rFonts w:ascii="Verdana" w:hAnsi="Verdana" w:cs="Arial"/>
        </w:rPr>
        <w:t>the desires of the claimant</w:t>
      </w:r>
      <w:r w:rsidR="00D414CE" w:rsidRPr="00277F61">
        <w:rPr>
          <w:rFonts w:ascii="Verdana" w:hAnsi="Verdana" w:cs="Arial"/>
        </w:rPr>
        <w:t xml:space="preserve"> to resolve the claim.  One of the biggest factors impacting the alternative </w:t>
      </w:r>
      <w:r w:rsidR="00364E02">
        <w:rPr>
          <w:rFonts w:ascii="Verdana" w:hAnsi="Verdana" w:cs="Arial"/>
        </w:rPr>
        <w:t>approach</w:t>
      </w:r>
      <w:r w:rsidR="00D414CE" w:rsidRPr="00277F61">
        <w:rPr>
          <w:rFonts w:ascii="Verdana" w:hAnsi="Verdana" w:cs="Arial"/>
        </w:rPr>
        <w:t xml:space="preserve"> </w:t>
      </w:r>
      <w:r w:rsidR="000D27FE" w:rsidRPr="00277F61">
        <w:rPr>
          <w:rFonts w:ascii="Verdana" w:hAnsi="Verdana" w:cs="Arial"/>
        </w:rPr>
        <w:t>to one-time cash payment</w:t>
      </w:r>
      <w:r w:rsidR="00364E02">
        <w:rPr>
          <w:rFonts w:ascii="Verdana" w:hAnsi="Verdana" w:cs="Arial"/>
        </w:rPr>
        <w:t>s</w:t>
      </w:r>
      <w:r w:rsidR="000D27FE" w:rsidRPr="00277F61">
        <w:rPr>
          <w:rFonts w:ascii="Verdana" w:hAnsi="Verdana" w:cs="Arial"/>
        </w:rPr>
        <w:t xml:space="preserve"> </w:t>
      </w:r>
      <w:r w:rsidR="00D414CE" w:rsidRPr="00277F61">
        <w:rPr>
          <w:rFonts w:ascii="Verdana" w:hAnsi="Verdana" w:cs="Arial"/>
        </w:rPr>
        <w:t xml:space="preserve">is the effect of an off-set </w:t>
      </w:r>
      <w:r w:rsidR="00866DBB" w:rsidRPr="00277F61">
        <w:rPr>
          <w:rFonts w:ascii="Verdana" w:hAnsi="Verdana" w:cs="Arial"/>
        </w:rPr>
        <w:t xml:space="preserve">from </w:t>
      </w:r>
      <w:r w:rsidR="00D414CE" w:rsidRPr="00277F61">
        <w:rPr>
          <w:rFonts w:ascii="Verdana" w:hAnsi="Verdana" w:cs="Arial"/>
        </w:rPr>
        <w:t>Social Security Disability</w:t>
      </w:r>
      <w:r w:rsidR="00D25730" w:rsidRPr="00277F61">
        <w:rPr>
          <w:rFonts w:ascii="Verdana" w:hAnsi="Verdana" w:cs="Arial"/>
        </w:rPr>
        <w:t xml:space="preserve"> (SSD)</w:t>
      </w:r>
      <w:r w:rsidR="00D414CE" w:rsidRPr="00277F61">
        <w:rPr>
          <w:rFonts w:ascii="Verdana" w:hAnsi="Verdana" w:cs="Arial"/>
        </w:rPr>
        <w:t xml:space="preserve"> benefits</w:t>
      </w:r>
      <w:r w:rsidR="007D0F74" w:rsidRPr="00277F61">
        <w:rPr>
          <w:rFonts w:ascii="Verdana" w:hAnsi="Verdana" w:cs="Arial"/>
        </w:rPr>
        <w:t xml:space="preserve"> </w:t>
      </w:r>
      <w:r w:rsidR="00B51579">
        <w:rPr>
          <w:rFonts w:ascii="Verdana" w:hAnsi="Verdana" w:cs="Arial"/>
        </w:rPr>
        <w:t>to the worker.</w:t>
      </w:r>
      <w:r w:rsidR="00246672" w:rsidRPr="00277F61">
        <w:rPr>
          <w:rFonts w:ascii="Verdana" w:hAnsi="Verdana" w:cs="Arial"/>
        </w:rPr>
        <w:t xml:space="preserve">  Typically, </w:t>
      </w:r>
      <w:r w:rsidR="00211976" w:rsidRPr="00277F61">
        <w:rPr>
          <w:rFonts w:ascii="Verdana" w:hAnsi="Verdana" w:cs="Arial"/>
        </w:rPr>
        <w:t>an injured worker will have</w:t>
      </w:r>
      <w:r w:rsidR="00D25730" w:rsidRPr="00277F61">
        <w:rPr>
          <w:rFonts w:ascii="Verdana" w:hAnsi="Verdana" w:cs="Arial"/>
        </w:rPr>
        <w:t xml:space="preserve"> </w:t>
      </w:r>
      <w:r w:rsidR="00246672" w:rsidRPr="00277F61">
        <w:rPr>
          <w:rFonts w:ascii="Verdana" w:hAnsi="Verdana" w:cs="Arial"/>
        </w:rPr>
        <w:t>SSD benefits</w:t>
      </w:r>
      <w:r w:rsidR="00211976" w:rsidRPr="00277F61">
        <w:rPr>
          <w:rFonts w:ascii="Verdana" w:hAnsi="Verdana" w:cs="Arial"/>
        </w:rPr>
        <w:t xml:space="preserve"> reduced due to receipt of other disability benefits</w:t>
      </w:r>
      <w:r w:rsidR="00246672" w:rsidRPr="00277F61">
        <w:rPr>
          <w:rFonts w:ascii="Verdana" w:hAnsi="Verdana" w:cs="Arial"/>
        </w:rPr>
        <w:t>.</w:t>
      </w:r>
      <w:r w:rsidR="00D25730" w:rsidRPr="00277F61">
        <w:rPr>
          <w:rFonts w:ascii="Verdana" w:hAnsi="Verdana" w:cs="Arial"/>
        </w:rPr>
        <w:t xml:space="preserve">  In </w:t>
      </w:r>
      <w:r w:rsidR="00A43C4B" w:rsidRPr="00277F61">
        <w:rPr>
          <w:rFonts w:ascii="Verdana" w:hAnsi="Verdana" w:cs="Arial"/>
        </w:rPr>
        <w:t>most</w:t>
      </w:r>
      <w:r w:rsidR="00D25730" w:rsidRPr="00277F61">
        <w:rPr>
          <w:rFonts w:ascii="Verdana" w:hAnsi="Verdana" w:cs="Arial"/>
        </w:rPr>
        <w:t xml:space="preserve"> cases, if the parties are not careful to recognize this impact, </w:t>
      </w:r>
      <w:r w:rsidR="006D28B9" w:rsidRPr="00277F61">
        <w:rPr>
          <w:rFonts w:ascii="Verdana" w:hAnsi="Verdana" w:cs="Arial"/>
        </w:rPr>
        <w:t xml:space="preserve">a large portion </w:t>
      </w:r>
      <w:r w:rsidR="00A43C4B" w:rsidRPr="00277F61">
        <w:rPr>
          <w:rFonts w:ascii="Verdana" w:hAnsi="Verdana" w:cs="Arial"/>
        </w:rPr>
        <w:t>o</w:t>
      </w:r>
      <w:r w:rsidR="006D28B9" w:rsidRPr="00277F61">
        <w:rPr>
          <w:rFonts w:ascii="Verdana" w:hAnsi="Verdana" w:cs="Arial"/>
        </w:rPr>
        <w:t xml:space="preserve">r even </w:t>
      </w:r>
      <w:r w:rsidR="00D25730" w:rsidRPr="00277F61">
        <w:rPr>
          <w:rFonts w:ascii="Verdana" w:hAnsi="Verdana" w:cs="Arial"/>
        </w:rPr>
        <w:t xml:space="preserve">the entire amount of SSD benefit </w:t>
      </w:r>
      <w:r w:rsidR="00A43C4B" w:rsidRPr="00277F61">
        <w:rPr>
          <w:rFonts w:ascii="Verdana" w:hAnsi="Verdana" w:cs="Arial"/>
        </w:rPr>
        <w:t>will</w:t>
      </w:r>
      <w:r w:rsidR="00D25730" w:rsidRPr="00277F61">
        <w:rPr>
          <w:rFonts w:ascii="Verdana" w:hAnsi="Verdana" w:cs="Arial"/>
        </w:rPr>
        <w:t xml:space="preserve"> be </w:t>
      </w:r>
      <w:r w:rsidR="00A43C4B" w:rsidRPr="00277F61">
        <w:rPr>
          <w:rFonts w:ascii="Verdana" w:hAnsi="Verdana" w:cs="Arial"/>
        </w:rPr>
        <w:t xml:space="preserve">taken </w:t>
      </w:r>
      <w:r w:rsidR="007A6E9D">
        <w:rPr>
          <w:rFonts w:ascii="Verdana" w:hAnsi="Verdana" w:cs="Arial"/>
        </w:rPr>
        <w:t>from the injured worker and replaced with ISIF benefits</w:t>
      </w:r>
      <w:r w:rsidR="00B51579">
        <w:rPr>
          <w:rFonts w:ascii="Verdana" w:hAnsi="Verdana" w:cs="Arial"/>
        </w:rPr>
        <w:t xml:space="preserve"> or other disability benefits</w:t>
      </w:r>
      <w:r w:rsidR="007A6E9D">
        <w:rPr>
          <w:rFonts w:ascii="Verdana" w:hAnsi="Verdana" w:cs="Arial"/>
        </w:rPr>
        <w:t>.</w:t>
      </w:r>
      <w:r w:rsidR="00D414CE" w:rsidRPr="00277F61">
        <w:rPr>
          <w:rFonts w:ascii="Verdana" w:hAnsi="Verdana" w:cs="Arial"/>
        </w:rPr>
        <w:t xml:space="preserve"> </w:t>
      </w:r>
    </w:p>
    <w:p w:rsidR="009510A1" w:rsidRPr="00277F61" w:rsidRDefault="0033007F" w:rsidP="00BF3FC4">
      <w:pPr>
        <w:pStyle w:val="NoSpacing"/>
        <w:jc w:val="both"/>
        <w:rPr>
          <w:rFonts w:ascii="Verdana" w:hAnsi="Verdana" w:cs="Arial"/>
        </w:rPr>
      </w:pPr>
      <w:r w:rsidRPr="00277F61">
        <w:rPr>
          <w:rFonts w:ascii="Verdana" w:hAnsi="Verdana" w:cs="Arial"/>
        </w:rPr>
        <w:tab/>
      </w:r>
      <w:r w:rsidR="004A52BA" w:rsidRPr="00277F61">
        <w:rPr>
          <w:rFonts w:ascii="Verdana" w:hAnsi="Verdana" w:cs="Arial"/>
        </w:rPr>
        <w:t xml:space="preserve">With </w:t>
      </w:r>
      <w:r w:rsidR="00410CD6" w:rsidRPr="00277F61">
        <w:rPr>
          <w:rFonts w:ascii="Verdana" w:hAnsi="Verdana" w:cs="Arial"/>
        </w:rPr>
        <w:t xml:space="preserve">such restrictions in resolving claims </w:t>
      </w:r>
      <w:r w:rsidR="003522A8" w:rsidRPr="00277F61">
        <w:rPr>
          <w:rFonts w:ascii="Verdana" w:hAnsi="Verdana" w:cs="Arial"/>
        </w:rPr>
        <w:t>and contested cases</w:t>
      </w:r>
      <w:r w:rsidR="004A52BA" w:rsidRPr="00277F61">
        <w:rPr>
          <w:rFonts w:ascii="Verdana" w:hAnsi="Verdana" w:cs="Arial"/>
        </w:rPr>
        <w:t xml:space="preserve">, innovative ways to resolve </w:t>
      </w:r>
      <w:r w:rsidR="003522A8" w:rsidRPr="00277F61">
        <w:rPr>
          <w:rFonts w:ascii="Verdana" w:hAnsi="Verdana" w:cs="Arial"/>
        </w:rPr>
        <w:t xml:space="preserve">complex </w:t>
      </w:r>
      <w:r w:rsidR="004A52BA" w:rsidRPr="00277F61">
        <w:rPr>
          <w:rFonts w:ascii="Verdana" w:hAnsi="Verdana" w:cs="Arial"/>
        </w:rPr>
        <w:t xml:space="preserve">cases </w:t>
      </w:r>
      <w:r w:rsidR="00F00ED8" w:rsidRPr="00277F61">
        <w:rPr>
          <w:rFonts w:ascii="Verdana" w:hAnsi="Verdana" w:cs="Arial"/>
        </w:rPr>
        <w:t>by ISIF</w:t>
      </w:r>
      <w:r w:rsidR="004A52BA" w:rsidRPr="00277F61">
        <w:rPr>
          <w:rFonts w:ascii="Verdana" w:hAnsi="Verdana" w:cs="Arial"/>
        </w:rPr>
        <w:t xml:space="preserve"> have gained approval from the Industrial Commission</w:t>
      </w:r>
      <w:r w:rsidR="00364E02">
        <w:rPr>
          <w:rFonts w:ascii="Verdana" w:hAnsi="Verdana" w:cs="Arial"/>
        </w:rPr>
        <w:t>, as well as, the workers and insurance companies.</w:t>
      </w:r>
      <w:r w:rsidR="004A52BA" w:rsidRPr="00277F61">
        <w:rPr>
          <w:rFonts w:ascii="Verdana" w:hAnsi="Verdana" w:cs="Arial"/>
        </w:rPr>
        <w:t xml:space="preserve">  Such </w:t>
      </w:r>
      <w:r w:rsidR="009C783F" w:rsidRPr="00277F61">
        <w:rPr>
          <w:rFonts w:ascii="Verdana" w:hAnsi="Verdana" w:cs="Arial"/>
        </w:rPr>
        <w:t>efforts</w:t>
      </w:r>
      <w:r w:rsidR="004A52BA" w:rsidRPr="00277F61">
        <w:rPr>
          <w:rFonts w:ascii="Verdana" w:hAnsi="Verdana" w:cs="Arial"/>
        </w:rPr>
        <w:t xml:space="preserve"> have increased the </w:t>
      </w:r>
      <w:r w:rsidR="009C783F" w:rsidRPr="00277F61">
        <w:rPr>
          <w:rFonts w:ascii="Verdana" w:hAnsi="Verdana" w:cs="Arial"/>
        </w:rPr>
        <w:t>potential</w:t>
      </w:r>
      <w:r w:rsidR="004A52BA" w:rsidRPr="00277F61">
        <w:rPr>
          <w:rFonts w:ascii="Verdana" w:hAnsi="Verdana" w:cs="Arial"/>
        </w:rPr>
        <w:t xml:space="preserve"> closure of cases</w:t>
      </w:r>
      <w:r w:rsidR="009C783F" w:rsidRPr="00277F61">
        <w:rPr>
          <w:rFonts w:ascii="Verdana" w:hAnsi="Verdana" w:cs="Arial"/>
        </w:rPr>
        <w:t xml:space="preserve"> </w:t>
      </w:r>
      <w:r w:rsidR="00DC40C6">
        <w:rPr>
          <w:rFonts w:ascii="Verdana" w:hAnsi="Verdana" w:cs="Arial"/>
        </w:rPr>
        <w:t>w</w:t>
      </w:r>
      <w:r w:rsidR="004A52BA" w:rsidRPr="00277F61">
        <w:rPr>
          <w:rFonts w:ascii="Verdana" w:hAnsi="Verdana" w:cs="Arial"/>
        </w:rPr>
        <w:t xml:space="preserve">ithout the need for an adversary hearing to determine the </w:t>
      </w:r>
      <w:r w:rsidR="00BE4F38" w:rsidRPr="00277F61">
        <w:rPr>
          <w:rFonts w:ascii="Verdana" w:hAnsi="Verdana" w:cs="Arial"/>
        </w:rPr>
        <w:t>final resolution.</w:t>
      </w:r>
      <w:r w:rsidR="001C0158">
        <w:rPr>
          <w:rFonts w:ascii="Verdana" w:hAnsi="Verdana" w:cs="Arial"/>
        </w:rPr>
        <w:t xml:space="preserve">  The chart below illustrates the difficulty in resolving ISIF cases.</w:t>
      </w:r>
      <w:r w:rsidR="00E41928" w:rsidRPr="00277F61">
        <w:rPr>
          <w:rFonts w:ascii="Verdana" w:hAnsi="Verdana" w:cs="Arial"/>
        </w:rPr>
        <w:t xml:space="preserve">  </w:t>
      </w:r>
    </w:p>
    <w:p w:rsidR="001300DC" w:rsidRDefault="001300DC" w:rsidP="008A3E87">
      <w:pPr>
        <w:pStyle w:val="NoSpacing"/>
        <w:ind w:firstLine="720"/>
        <w:jc w:val="both"/>
        <w:rPr>
          <w:rFonts w:ascii="Verdana" w:hAnsi="Verdana" w:cs="Arial"/>
        </w:rPr>
      </w:pPr>
    </w:p>
    <w:p w:rsidR="00C72E5C" w:rsidRDefault="00C72E5C" w:rsidP="008A3E87">
      <w:pPr>
        <w:pStyle w:val="NoSpacing"/>
        <w:ind w:firstLine="720"/>
        <w:jc w:val="both"/>
        <w:rPr>
          <w:rFonts w:ascii="Verdana" w:hAnsi="Verdana" w:cs="Arial"/>
        </w:rPr>
      </w:pPr>
    </w:p>
    <w:tbl>
      <w:tblPr>
        <w:tblW w:w="11236" w:type="dxa"/>
        <w:tblInd w:w="108" w:type="dxa"/>
        <w:tblLook w:val="04A0" w:firstRow="1" w:lastRow="0" w:firstColumn="1" w:lastColumn="0" w:noHBand="0" w:noVBand="1"/>
      </w:tblPr>
      <w:tblGrid>
        <w:gridCol w:w="936"/>
        <w:gridCol w:w="656"/>
        <w:gridCol w:w="222"/>
        <w:gridCol w:w="716"/>
        <w:gridCol w:w="963"/>
        <w:gridCol w:w="963"/>
        <w:gridCol w:w="963"/>
        <w:gridCol w:w="963"/>
        <w:gridCol w:w="963"/>
        <w:gridCol w:w="963"/>
        <w:gridCol w:w="976"/>
        <w:gridCol w:w="976"/>
        <w:gridCol w:w="976"/>
      </w:tblGrid>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sz w:val="24"/>
                <w:szCs w:val="24"/>
              </w:rPr>
            </w:pP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center"/>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71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5778" w:type="dxa"/>
            <w:gridSpan w:val="6"/>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Verdana" w:eastAsia="Times New Roman" w:hAnsi="Verdana" w:cs="Calibri"/>
                <w:b/>
                <w:bCs/>
                <w:color w:val="000000"/>
              </w:rPr>
            </w:pPr>
            <w:r w:rsidRPr="001300DC">
              <w:rPr>
                <w:rFonts w:ascii="Verdana" w:eastAsia="Times New Roman" w:hAnsi="Verdana" w:cs="Calibri"/>
                <w:b/>
                <w:bCs/>
                <w:color w:val="000000"/>
              </w:rPr>
              <w:t>Cases Closed by Stipulated Agreement  FY</w:t>
            </w: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Verdana" w:eastAsia="Times New Roman" w:hAnsi="Verdana" w:cs="Calibri"/>
                <w:b/>
                <w:bCs/>
                <w:color w:val="000000"/>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2009</w:t>
            </w: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30</w:t>
            </w: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p>
        </w:tc>
        <w:tc>
          <w:tcPr>
            <w:tcW w:w="71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Calibri" w:eastAsia="Times New Roman" w:hAnsi="Calibri" w:cs="Calibri"/>
                <w:color w:val="000000"/>
                <w:sz w:val="22"/>
                <w:szCs w:val="22"/>
              </w:rPr>
            </w:pPr>
            <w:r w:rsidRPr="001300DC">
              <w:rPr>
                <w:rFonts w:ascii="Calibri" w:eastAsia="Times New Roman" w:hAnsi="Calibri" w:cs="Calibri"/>
                <w:noProof/>
                <w:color w:val="000000"/>
                <w:sz w:val="22"/>
                <w:szCs w:val="22"/>
              </w:rPr>
              <w:drawing>
                <wp:anchor distT="0" distB="0" distL="114300" distR="114300" simplePos="0" relativeHeight="251657216" behindDoc="0" locked="0" layoutInCell="1" allowOverlap="1">
                  <wp:simplePos x="0" y="0"/>
                  <wp:positionH relativeFrom="column">
                    <wp:posOffset>-112395</wp:posOffset>
                  </wp:positionH>
                  <wp:positionV relativeFrom="paragraph">
                    <wp:posOffset>26670</wp:posOffset>
                  </wp:positionV>
                  <wp:extent cx="4690110" cy="2274570"/>
                  <wp:effectExtent l="0" t="0" r="15240" b="11430"/>
                  <wp:wrapNone/>
                  <wp:docPr id="5" name="Chart 5">
                    <a:extLst xmlns:a="http://schemas.openxmlformats.org/drawingml/2006/main">
                      <a:ext uri="{FF2B5EF4-FFF2-40B4-BE49-F238E27FC236}">
                        <a16:creationId xmlns:a16="http://schemas.microsoft.com/office/drawing/2014/main" id="{6B9B3F19-CF72-4149-A63E-B182A84888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500"/>
            </w:tblGrid>
            <w:tr w:rsidR="001300DC" w:rsidRPr="001300DC">
              <w:trPr>
                <w:trHeight w:val="300"/>
                <w:tblCellSpacing w:w="0" w:type="dxa"/>
              </w:trPr>
              <w:tc>
                <w:tcPr>
                  <w:tcW w:w="500"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Calibri" w:eastAsia="Times New Roman" w:hAnsi="Calibri" w:cs="Calibri"/>
                      <w:color w:val="000000"/>
                      <w:sz w:val="22"/>
                      <w:szCs w:val="22"/>
                    </w:rPr>
                  </w:pPr>
                </w:p>
              </w:tc>
            </w:tr>
          </w:tbl>
          <w:p w:rsidR="001300DC" w:rsidRPr="001300DC" w:rsidRDefault="001300DC" w:rsidP="001300DC">
            <w:pPr>
              <w:spacing w:before="0" w:after="0" w:line="240" w:lineRule="auto"/>
              <w:rPr>
                <w:rFonts w:ascii="Calibri" w:eastAsia="Times New Roman" w:hAnsi="Calibri" w:cs="Calibri"/>
                <w:color w:val="000000"/>
                <w:sz w:val="22"/>
                <w:szCs w:val="22"/>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10</w:t>
            </w: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28</w:t>
            </w: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p>
        </w:tc>
        <w:tc>
          <w:tcPr>
            <w:tcW w:w="71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ind w:firstLineChars="100" w:firstLine="200"/>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11</w:t>
            </w: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20</w:t>
            </w: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p>
        </w:tc>
        <w:tc>
          <w:tcPr>
            <w:tcW w:w="71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ind w:firstLineChars="100" w:firstLine="200"/>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12</w:t>
            </w: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15</w:t>
            </w: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p>
        </w:tc>
        <w:tc>
          <w:tcPr>
            <w:tcW w:w="71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ind w:firstLineChars="100" w:firstLine="200"/>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13</w:t>
            </w: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23</w:t>
            </w: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p>
        </w:tc>
        <w:tc>
          <w:tcPr>
            <w:tcW w:w="71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ind w:firstLineChars="100" w:firstLine="200"/>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14</w:t>
            </w: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23</w:t>
            </w: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p>
        </w:tc>
        <w:tc>
          <w:tcPr>
            <w:tcW w:w="71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ind w:firstLineChars="100" w:firstLine="200"/>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15</w:t>
            </w: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20</w:t>
            </w: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p>
        </w:tc>
        <w:tc>
          <w:tcPr>
            <w:tcW w:w="71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ind w:firstLineChars="100" w:firstLine="200"/>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16</w:t>
            </w: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14</w:t>
            </w: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p>
        </w:tc>
        <w:tc>
          <w:tcPr>
            <w:tcW w:w="71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ind w:firstLineChars="100" w:firstLine="200"/>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17</w:t>
            </w: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15</w:t>
            </w: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p>
        </w:tc>
        <w:tc>
          <w:tcPr>
            <w:tcW w:w="71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ind w:firstLineChars="100" w:firstLine="200"/>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18</w:t>
            </w: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16</w:t>
            </w: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p>
        </w:tc>
        <w:tc>
          <w:tcPr>
            <w:tcW w:w="71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19</w:t>
            </w: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r w:rsidRPr="001300DC">
              <w:rPr>
                <w:rFonts w:ascii="Verdana" w:eastAsia="Times New Roman" w:hAnsi="Verdana" w:cs="Calibri"/>
                <w:color w:val="000000"/>
              </w:rPr>
              <w:t>11</w:t>
            </w: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right"/>
              <w:rPr>
                <w:rFonts w:ascii="Verdana" w:eastAsia="Times New Roman" w:hAnsi="Verdana" w:cs="Calibri"/>
                <w:color w:val="000000"/>
              </w:rPr>
            </w:pPr>
          </w:p>
        </w:tc>
        <w:tc>
          <w:tcPr>
            <w:tcW w:w="71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r w:rsidR="001300DC" w:rsidRPr="001300DC" w:rsidTr="001300DC">
        <w:trPr>
          <w:trHeight w:val="300"/>
        </w:trPr>
        <w:tc>
          <w:tcPr>
            <w:tcW w:w="93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65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jc w:val="center"/>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716" w:type="dxa"/>
            <w:tcBorders>
              <w:top w:val="nil"/>
              <w:left w:val="nil"/>
              <w:bottom w:val="nil"/>
              <w:right w:val="nil"/>
            </w:tcBorders>
            <w:shd w:val="clear" w:color="auto" w:fill="auto"/>
            <w:noWrap/>
            <w:vAlign w:val="bottom"/>
            <w:hideMark/>
          </w:tcPr>
          <w:p w:rsidR="001300DC" w:rsidRDefault="001300DC" w:rsidP="001300DC">
            <w:pPr>
              <w:spacing w:before="0" w:after="0" w:line="240" w:lineRule="auto"/>
              <w:rPr>
                <w:rFonts w:ascii="Times New Roman" w:eastAsia="Times New Roman" w:hAnsi="Times New Roman" w:cs="Times New Roman"/>
              </w:rPr>
            </w:pPr>
          </w:p>
          <w:p w:rsidR="00C72E5C" w:rsidRDefault="00C72E5C" w:rsidP="001300DC">
            <w:pPr>
              <w:spacing w:before="0" w:after="0" w:line="240" w:lineRule="auto"/>
              <w:rPr>
                <w:rFonts w:ascii="Times New Roman" w:eastAsia="Times New Roman" w:hAnsi="Times New Roman" w:cs="Times New Roman"/>
              </w:rPr>
            </w:pPr>
          </w:p>
          <w:p w:rsidR="00C72E5C" w:rsidRDefault="00C72E5C" w:rsidP="001300DC">
            <w:pPr>
              <w:spacing w:before="0" w:after="0" w:line="240" w:lineRule="auto"/>
              <w:rPr>
                <w:rFonts w:ascii="Times New Roman" w:eastAsia="Times New Roman" w:hAnsi="Times New Roman" w:cs="Times New Roman"/>
              </w:rPr>
            </w:pPr>
          </w:p>
          <w:p w:rsidR="00C72E5C" w:rsidRPr="001300DC" w:rsidRDefault="00C72E5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63"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1300DC" w:rsidRPr="001300DC" w:rsidRDefault="001300DC" w:rsidP="001300DC">
            <w:pPr>
              <w:spacing w:before="0" w:after="0" w:line="240" w:lineRule="auto"/>
              <w:rPr>
                <w:rFonts w:ascii="Times New Roman" w:eastAsia="Times New Roman" w:hAnsi="Times New Roman" w:cs="Times New Roman"/>
              </w:rPr>
            </w:pPr>
          </w:p>
        </w:tc>
      </w:tr>
    </w:tbl>
    <w:p w:rsidR="00C42AA1" w:rsidRPr="00FB24DB" w:rsidRDefault="008251D9" w:rsidP="00FB24DB">
      <w:pPr>
        <w:pStyle w:val="NoSpacing"/>
        <w:ind w:firstLine="720"/>
        <w:jc w:val="both"/>
        <w:rPr>
          <w:rFonts w:ascii="Verdana" w:hAnsi="Verdana" w:cs="Arial"/>
        </w:rPr>
      </w:pPr>
      <w:r w:rsidRPr="00277F61">
        <w:rPr>
          <w:rFonts w:ascii="Verdana" w:hAnsi="Verdana" w:cs="Arial"/>
          <w:u w:val="single"/>
        </w:rPr>
        <w:t>Judicial</w:t>
      </w:r>
      <w:r w:rsidR="00C42AA1" w:rsidRPr="00277F61">
        <w:rPr>
          <w:rFonts w:ascii="Verdana" w:hAnsi="Verdana" w:cs="Arial"/>
          <w:u w:val="single"/>
        </w:rPr>
        <w:t xml:space="preserve"> Process </w:t>
      </w:r>
    </w:p>
    <w:p w:rsidR="00DE7BD9" w:rsidRPr="00277F61" w:rsidRDefault="00C95644" w:rsidP="00AC2D54">
      <w:pPr>
        <w:pStyle w:val="NoSpacing"/>
        <w:jc w:val="both"/>
        <w:rPr>
          <w:rFonts w:ascii="Verdana" w:hAnsi="Verdana" w:cs="Arial"/>
        </w:rPr>
      </w:pPr>
      <w:r>
        <w:rPr>
          <w:rFonts w:ascii="Arial" w:hAnsi="Arial" w:cs="Arial"/>
          <w:sz w:val="24"/>
          <w:szCs w:val="24"/>
        </w:rPr>
        <w:tab/>
      </w:r>
      <w:r w:rsidRPr="00277F61">
        <w:rPr>
          <w:rFonts w:ascii="Verdana" w:hAnsi="Verdana" w:cs="Arial"/>
        </w:rPr>
        <w:t xml:space="preserve">Another avenue </w:t>
      </w:r>
      <w:r w:rsidR="00A05A4C" w:rsidRPr="00277F61">
        <w:rPr>
          <w:rFonts w:ascii="Verdana" w:hAnsi="Verdana" w:cs="Arial"/>
        </w:rPr>
        <w:t>to</w:t>
      </w:r>
      <w:r w:rsidRPr="00277F61">
        <w:rPr>
          <w:rFonts w:ascii="Verdana" w:hAnsi="Verdana" w:cs="Arial"/>
        </w:rPr>
        <w:t xml:space="preserve"> resolv</w:t>
      </w:r>
      <w:r w:rsidR="00A05A4C" w:rsidRPr="00277F61">
        <w:rPr>
          <w:rFonts w:ascii="Verdana" w:hAnsi="Verdana" w:cs="Arial"/>
        </w:rPr>
        <w:t>e</w:t>
      </w:r>
      <w:r w:rsidRPr="00277F61">
        <w:rPr>
          <w:rFonts w:ascii="Verdana" w:hAnsi="Verdana" w:cs="Arial"/>
        </w:rPr>
        <w:t xml:space="preserve"> cases is through the judicial hearing process, in which the parties actively litigate the liability of the ISIF before the Industrial Commission.  Should the ISIF be held liable, monthly statutory benefits are paid during the lifetime of the disabled worker.  </w:t>
      </w:r>
      <w:r w:rsidR="004F1839" w:rsidRPr="00277F61">
        <w:rPr>
          <w:rFonts w:ascii="Verdana" w:hAnsi="Verdana" w:cs="Arial"/>
        </w:rPr>
        <w:t xml:space="preserve">Of the </w:t>
      </w:r>
      <w:r w:rsidR="001300DC">
        <w:rPr>
          <w:rFonts w:ascii="Verdana" w:hAnsi="Verdana" w:cs="Arial"/>
        </w:rPr>
        <w:t>seven (7)</w:t>
      </w:r>
      <w:r w:rsidR="004F1839" w:rsidRPr="00277F61">
        <w:rPr>
          <w:rFonts w:ascii="Verdana" w:hAnsi="Verdana" w:cs="Arial"/>
        </w:rPr>
        <w:t xml:space="preserve"> new </w:t>
      </w:r>
      <w:r w:rsidR="001300DC">
        <w:rPr>
          <w:rFonts w:ascii="Verdana" w:hAnsi="Verdana" w:cs="Arial"/>
        </w:rPr>
        <w:t xml:space="preserve">monthly </w:t>
      </w:r>
      <w:r w:rsidR="004F1839" w:rsidRPr="00277F61">
        <w:rPr>
          <w:rFonts w:ascii="Verdana" w:hAnsi="Verdana" w:cs="Arial"/>
        </w:rPr>
        <w:t>beneficiaries in FY1</w:t>
      </w:r>
      <w:r w:rsidR="00BD528C">
        <w:rPr>
          <w:rFonts w:ascii="Verdana" w:hAnsi="Verdana" w:cs="Arial"/>
        </w:rPr>
        <w:t>9</w:t>
      </w:r>
      <w:r w:rsidR="004F1839" w:rsidRPr="00277F61">
        <w:rPr>
          <w:rFonts w:ascii="Verdana" w:hAnsi="Verdana" w:cs="Arial"/>
        </w:rPr>
        <w:t xml:space="preserve">, </w:t>
      </w:r>
      <w:r w:rsidR="001300DC">
        <w:rPr>
          <w:rFonts w:ascii="Verdana" w:hAnsi="Verdana" w:cs="Arial"/>
        </w:rPr>
        <w:t>six (6)</w:t>
      </w:r>
      <w:r w:rsidR="004F1839" w:rsidRPr="00277F61">
        <w:rPr>
          <w:rFonts w:ascii="Verdana" w:hAnsi="Verdana" w:cs="Arial"/>
        </w:rPr>
        <w:t xml:space="preserve"> were negotiated settlements. </w:t>
      </w:r>
      <w:r w:rsidR="004C138E" w:rsidRPr="00277F61">
        <w:rPr>
          <w:rFonts w:ascii="Verdana" w:hAnsi="Verdana" w:cs="Arial"/>
        </w:rPr>
        <w:t xml:space="preserve">  </w:t>
      </w:r>
    </w:p>
    <w:p w:rsidR="00C72E5C" w:rsidRPr="003A507B" w:rsidRDefault="00C72E5C" w:rsidP="003A507B">
      <w:pPr>
        <w:pStyle w:val="NoSpacing"/>
        <w:ind w:firstLine="720"/>
        <w:jc w:val="both"/>
        <w:rPr>
          <w:rFonts w:ascii="Verdana" w:hAnsi="Verdana" w:cs="Arial"/>
        </w:rPr>
      </w:pPr>
      <w:r w:rsidRPr="00277F61">
        <w:rPr>
          <w:rFonts w:ascii="Verdana" w:hAnsi="Verdana" w:cs="Arial"/>
        </w:rPr>
        <w:t xml:space="preserve">Another method of reducing costs for ISIF is to request closure of cases through an administrative process.  This method is designed to notify the Industrial Commission of old or stale claims that have not been prosecuted in a timely fashion.  </w:t>
      </w:r>
      <w:r>
        <w:rPr>
          <w:rFonts w:ascii="Verdana" w:hAnsi="Verdana" w:cs="Arial"/>
        </w:rPr>
        <w:t>A</w:t>
      </w:r>
      <w:r w:rsidRPr="00277F61">
        <w:rPr>
          <w:rFonts w:ascii="Verdana" w:hAnsi="Verdana" w:cs="Arial"/>
        </w:rPr>
        <w:t xml:space="preserve"> significant increase in closures has taken place in the past few years.  Such closures have come from cases not actively </w:t>
      </w:r>
      <w:r w:rsidR="006F220D" w:rsidRPr="00277F61">
        <w:rPr>
          <w:rFonts w:ascii="Verdana" w:hAnsi="Verdana" w:cs="Arial"/>
        </w:rPr>
        <w:t>prosecuted or</w:t>
      </w:r>
      <w:r w:rsidRPr="00277F61">
        <w:rPr>
          <w:rFonts w:ascii="Verdana" w:hAnsi="Verdana" w:cs="Arial"/>
        </w:rPr>
        <w:t xml:space="preserve"> </w:t>
      </w:r>
      <w:r w:rsidR="00B237C2">
        <w:rPr>
          <w:rFonts w:ascii="Verdana" w:hAnsi="Verdana" w:cs="Arial"/>
        </w:rPr>
        <w:t xml:space="preserve">  </w:t>
      </w:r>
      <w:r w:rsidRPr="00277F61">
        <w:rPr>
          <w:rFonts w:ascii="Verdana" w:hAnsi="Verdana" w:cs="Arial"/>
        </w:rPr>
        <w:t xml:space="preserve"> </w:t>
      </w:r>
      <w:r w:rsidR="00E44075" w:rsidRPr="00277F61">
        <w:rPr>
          <w:rFonts w:ascii="Verdana" w:hAnsi="Verdana" w:cs="Arial"/>
        </w:rPr>
        <w:t>settled</w:t>
      </w:r>
      <w:r w:rsidR="00F2593A">
        <w:rPr>
          <w:rFonts w:ascii="Verdana" w:hAnsi="Verdana" w:cs="Arial"/>
        </w:rPr>
        <w:t xml:space="preserve"> </w:t>
      </w:r>
      <w:r w:rsidRPr="00277F61">
        <w:rPr>
          <w:rFonts w:ascii="Verdana" w:hAnsi="Verdana" w:cs="Arial"/>
        </w:rPr>
        <w:t xml:space="preserve">and the remaining party does not desire to continue the litigation against ISIF, </w:t>
      </w:r>
      <w:r w:rsidR="00F2593A">
        <w:rPr>
          <w:rFonts w:ascii="Verdana" w:hAnsi="Verdana" w:cs="Arial"/>
        </w:rPr>
        <w:t>or</w:t>
      </w:r>
      <w:r w:rsidRPr="00277F61">
        <w:rPr>
          <w:rFonts w:ascii="Verdana" w:hAnsi="Verdana" w:cs="Arial"/>
        </w:rPr>
        <w:t xml:space="preserve"> cases </w:t>
      </w:r>
      <w:r w:rsidR="00481298">
        <w:rPr>
          <w:rFonts w:ascii="Verdana" w:hAnsi="Verdana" w:cs="Arial"/>
        </w:rPr>
        <w:t>actively contested by ISIF through hearing.</w:t>
      </w:r>
      <w:r w:rsidRPr="00277F61">
        <w:rPr>
          <w:rFonts w:ascii="Verdana" w:hAnsi="Verdana" w:cs="Arial"/>
        </w:rPr>
        <w:t xml:space="preserve">  Of the </w:t>
      </w:r>
      <w:r>
        <w:rPr>
          <w:rFonts w:ascii="Verdana" w:hAnsi="Verdana" w:cs="Arial"/>
        </w:rPr>
        <w:t>15</w:t>
      </w:r>
      <w:r w:rsidRPr="00277F61">
        <w:rPr>
          <w:rFonts w:ascii="Verdana" w:hAnsi="Verdana" w:cs="Arial"/>
        </w:rPr>
        <w:t xml:space="preserve"> cases in which ISIF was dismissed </w:t>
      </w:r>
      <w:r>
        <w:rPr>
          <w:rFonts w:ascii="Verdana" w:hAnsi="Verdana" w:cs="Arial"/>
        </w:rPr>
        <w:t xml:space="preserve">last </w:t>
      </w:r>
      <w:r w:rsidR="00481298">
        <w:rPr>
          <w:rFonts w:ascii="Verdana" w:hAnsi="Verdana" w:cs="Arial"/>
        </w:rPr>
        <w:t>year</w:t>
      </w:r>
      <w:r w:rsidRPr="00277F61">
        <w:rPr>
          <w:rFonts w:ascii="Verdana" w:hAnsi="Verdana" w:cs="Arial"/>
        </w:rPr>
        <w:t>,</w:t>
      </w:r>
      <w:r>
        <w:rPr>
          <w:rFonts w:ascii="Verdana" w:hAnsi="Verdana" w:cs="Arial"/>
        </w:rPr>
        <w:t xml:space="preserve"> 14</w:t>
      </w:r>
      <w:r w:rsidRPr="00277F61">
        <w:rPr>
          <w:rFonts w:ascii="Verdana" w:hAnsi="Verdana" w:cs="Arial"/>
        </w:rPr>
        <w:t xml:space="preserve"> were fully contested by ISIF.</w:t>
      </w:r>
      <w:r>
        <w:rPr>
          <w:rFonts w:ascii="Verdana" w:hAnsi="Verdana" w:cs="Arial"/>
        </w:rPr>
        <w:t xml:space="preserve">  The chart on the next page shows this more graphically.</w:t>
      </w:r>
    </w:p>
    <w:p w:rsidR="00C72E5C" w:rsidRDefault="00C72E5C" w:rsidP="00607AFC">
      <w:pPr>
        <w:pStyle w:val="NoSpacing"/>
        <w:rPr>
          <w:rFonts w:ascii="Arial" w:hAnsi="Arial" w:cs="Arial"/>
          <w:sz w:val="24"/>
          <w:szCs w:val="24"/>
        </w:rPr>
      </w:pPr>
    </w:p>
    <w:tbl>
      <w:tblPr>
        <w:tblW w:w="11634" w:type="dxa"/>
        <w:tblInd w:w="108" w:type="dxa"/>
        <w:tblLook w:val="04A0" w:firstRow="1" w:lastRow="0" w:firstColumn="1" w:lastColumn="0" w:noHBand="0" w:noVBand="1"/>
      </w:tblPr>
      <w:tblGrid>
        <w:gridCol w:w="976"/>
        <w:gridCol w:w="976"/>
        <w:gridCol w:w="5778"/>
        <w:gridCol w:w="976"/>
        <w:gridCol w:w="976"/>
        <w:gridCol w:w="976"/>
        <w:gridCol w:w="976"/>
      </w:tblGrid>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rPr>
                <w:rFonts w:ascii="Times New Roman" w:eastAsia="Times New Roman" w:hAnsi="Times New Roman" w:cs="Times New Roman"/>
                <w:sz w:val="24"/>
                <w:szCs w:val="24"/>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rPr>
                <w:rFonts w:ascii="Times New Roman" w:eastAsia="Times New Roman" w:hAnsi="Times New Roman" w:cs="Times New Roman"/>
              </w:rPr>
            </w:pPr>
          </w:p>
        </w:tc>
        <w:tc>
          <w:tcPr>
            <w:tcW w:w="5778"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rPr>
                <w:rFonts w:ascii="Verdana" w:eastAsia="Times New Roman" w:hAnsi="Verdana" w:cs="Calibri"/>
                <w:b/>
                <w:bCs/>
                <w:color w:val="000000"/>
              </w:rPr>
            </w:pPr>
            <w:r w:rsidRPr="00C72E5C">
              <w:rPr>
                <w:rFonts w:ascii="Verdana" w:eastAsia="Times New Roman" w:hAnsi="Verdana" w:cs="Calibri"/>
                <w:b/>
                <w:bCs/>
                <w:color w:val="000000"/>
              </w:rPr>
              <w:t xml:space="preserve">        Administrative</w:t>
            </w:r>
            <w:r w:rsidR="00E4445A">
              <w:rPr>
                <w:rFonts w:ascii="Verdana" w:eastAsia="Times New Roman" w:hAnsi="Verdana" w:cs="Calibri"/>
                <w:b/>
                <w:bCs/>
                <w:color w:val="000000"/>
              </w:rPr>
              <w:t>/Judicial</w:t>
            </w:r>
            <w:r w:rsidRPr="00C72E5C">
              <w:rPr>
                <w:rFonts w:ascii="Verdana" w:eastAsia="Times New Roman" w:hAnsi="Verdana" w:cs="Calibri"/>
                <w:b/>
                <w:bCs/>
                <w:color w:val="000000"/>
              </w:rPr>
              <w:t xml:space="preserve"> Closure of Cases</w:t>
            </w:r>
            <w:r w:rsidR="00E4445A">
              <w:rPr>
                <w:rFonts w:ascii="Verdana" w:eastAsia="Times New Roman" w:hAnsi="Verdana" w:cs="Calibri"/>
                <w:b/>
                <w:bCs/>
                <w:color w:val="000000"/>
              </w:rPr>
              <w:t xml:space="preserve">  FY</w:t>
            </w:r>
            <w:r w:rsidRPr="00C72E5C">
              <w:rPr>
                <w:rFonts w:ascii="Verdana" w:eastAsia="Times New Roman" w:hAnsi="Verdana" w:cs="Calibri"/>
                <w:b/>
                <w:bCs/>
                <w:color w:val="000000"/>
              </w:rPr>
              <w:t xml:space="preserve">  </w:t>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rPr>
                <w:rFonts w:ascii="Verdana" w:eastAsia="Times New Roman" w:hAnsi="Verdana" w:cs="Calibri"/>
                <w:b/>
                <w:bCs/>
                <w:color w:val="000000"/>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rPr>
                <w:rFonts w:ascii="Times New Roman" w:eastAsia="Times New Roman" w:hAnsi="Times New Roman" w:cs="Times New Roman"/>
              </w:rPr>
            </w:pPr>
          </w:p>
        </w:tc>
      </w:tr>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2009</w:t>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3</w:t>
            </w:r>
          </w:p>
        </w:tc>
        <w:tc>
          <w:tcPr>
            <w:tcW w:w="8706" w:type="dxa"/>
            <w:gridSpan w:val="4"/>
            <w:vMerge w:val="restart"/>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rPr>
                <w:rFonts w:ascii="Verdana" w:eastAsia="Times New Roman" w:hAnsi="Verdana" w:cs="Calibri"/>
                <w:color w:val="000000"/>
              </w:rPr>
            </w:pPr>
            <w:r w:rsidRPr="00C72E5C">
              <w:rPr>
                <w:rFonts w:ascii="Verdana" w:eastAsia="Times New Roman" w:hAnsi="Verdana" w:cs="Calibri"/>
                <w:noProof/>
                <w:color w:val="000000"/>
              </w:rPr>
              <w:drawing>
                <wp:anchor distT="0" distB="0" distL="114300" distR="114300" simplePos="0" relativeHeight="251659264" behindDoc="0" locked="0" layoutInCell="1" allowOverlap="1">
                  <wp:simplePos x="0" y="0"/>
                  <wp:positionH relativeFrom="column">
                    <wp:posOffset>160020</wp:posOffset>
                  </wp:positionH>
                  <wp:positionV relativeFrom="paragraph">
                    <wp:posOffset>-2270760</wp:posOffset>
                  </wp:positionV>
                  <wp:extent cx="4876165" cy="2068195"/>
                  <wp:effectExtent l="0" t="0" r="635" b="8255"/>
                  <wp:wrapNone/>
                  <wp:docPr id="7" name="Chart 7">
                    <a:extLst xmlns:a="http://schemas.openxmlformats.org/drawingml/2006/main">
                      <a:ext uri="{FF2B5EF4-FFF2-40B4-BE49-F238E27FC236}">
                        <a16:creationId xmlns:a16="http://schemas.microsoft.com/office/drawing/2014/main" id="{F21DFB5C-2402-4CDC-9046-8B0B8A40B2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rPr>
                <w:rFonts w:ascii="Verdana" w:eastAsia="Times New Roman" w:hAnsi="Verdana" w:cs="Calibri"/>
                <w:color w:val="000000"/>
              </w:rPr>
            </w:pPr>
          </w:p>
        </w:tc>
      </w:tr>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10</w:t>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0</w:t>
            </w:r>
          </w:p>
        </w:tc>
        <w:tc>
          <w:tcPr>
            <w:tcW w:w="8706" w:type="dxa"/>
            <w:gridSpan w:val="4"/>
            <w:vMerge/>
            <w:tcBorders>
              <w:top w:val="nil"/>
              <w:left w:val="nil"/>
              <w:bottom w:val="nil"/>
              <w:right w:val="nil"/>
            </w:tcBorders>
            <w:vAlign w:val="center"/>
            <w:hideMark/>
          </w:tcPr>
          <w:p w:rsidR="00C72E5C" w:rsidRPr="00C72E5C" w:rsidRDefault="00C72E5C" w:rsidP="00C72E5C">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p>
        </w:tc>
      </w:tr>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11</w:t>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5</w:t>
            </w:r>
          </w:p>
        </w:tc>
        <w:tc>
          <w:tcPr>
            <w:tcW w:w="8706" w:type="dxa"/>
            <w:gridSpan w:val="4"/>
            <w:vMerge/>
            <w:tcBorders>
              <w:top w:val="nil"/>
              <w:left w:val="nil"/>
              <w:bottom w:val="nil"/>
              <w:right w:val="nil"/>
            </w:tcBorders>
            <w:vAlign w:val="center"/>
            <w:hideMark/>
          </w:tcPr>
          <w:p w:rsidR="00C72E5C" w:rsidRPr="00C72E5C" w:rsidRDefault="00C72E5C" w:rsidP="00C72E5C">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p>
        </w:tc>
      </w:tr>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12</w:t>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0</w:t>
            </w:r>
          </w:p>
        </w:tc>
        <w:tc>
          <w:tcPr>
            <w:tcW w:w="8706" w:type="dxa"/>
            <w:gridSpan w:val="4"/>
            <w:vMerge/>
            <w:tcBorders>
              <w:top w:val="nil"/>
              <w:left w:val="nil"/>
              <w:bottom w:val="nil"/>
              <w:right w:val="nil"/>
            </w:tcBorders>
            <w:vAlign w:val="center"/>
            <w:hideMark/>
          </w:tcPr>
          <w:p w:rsidR="00C72E5C" w:rsidRPr="00C72E5C" w:rsidRDefault="00C72E5C" w:rsidP="00C72E5C">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p>
        </w:tc>
      </w:tr>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13</w:t>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23</w:t>
            </w:r>
          </w:p>
        </w:tc>
        <w:tc>
          <w:tcPr>
            <w:tcW w:w="8706" w:type="dxa"/>
            <w:gridSpan w:val="4"/>
            <w:vMerge/>
            <w:tcBorders>
              <w:top w:val="nil"/>
              <w:left w:val="nil"/>
              <w:bottom w:val="nil"/>
              <w:right w:val="nil"/>
            </w:tcBorders>
            <w:vAlign w:val="center"/>
            <w:hideMark/>
          </w:tcPr>
          <w:p w:rsidR="00C72E5C" w:rsidRPr="00C72E5C" w:rsidRDefault="00C72E5C" w:rsidP="00C72E5C">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p>
        </w:tc>
      </w:tr>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14</w:t>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19</w:t>
            </w:r>
          </w:p>
        </w:tc>
        <w:tc>
          <w:tcPr>
            <w:tcW w:w="8706" w:type="dxa"/>
            <w:gridSpan w:val="4"/>
            <w:vMerge/>
            <w:tcBorders>
              <w:top w:val="nil"/>
              <w:left w:val="nil"/>
              <w:bottom w:val="nil"/>
              <w:right w:val="nil"/>
            </w:tcBorders>
            <w:vAlign w:val="center"/>
            <w:hideMark/>
          </w:tcPr>
          <w:p w:rsidR="00C72E5C" w:rsidRPr="00C72E5C" w:rsidRDefault="00C72E5C" w:rsidP="00C72E5C">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p>
        </w:tc>
      </w:tr>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15</w:t>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14</w:t>
            </w:r>
          </w:p>
        </w:tc>
        <w:tc>
          <w:tcPr>
            <w:tcW w:w="8706" w:type="dxa"/>
            <w:gridSpan w:val="4"/>
            <w:vMerge/>
            <w:tcBorders>
              <w:top w:val="nil"/>
              <w:left w:val="nil"/>
              <w:bottom w:val="nil"/>
              <w:right w:val="nil"/>
            </w:tcBorders>
            <w:vAlign w:val="center"/>
            <w:hideMark/>
          </w:tcPr>
          <w:p w:rsidR="00C72E5C" w:rsidRPr="00C72E5C" w:rsidRDefault="00C72E5C" w:rsidP="00C72E5C">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p>
        </w:tc>
      </w:tr>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16</w:t>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24</w:t>
            </w:r>
          </w:p>
        </w:tc>
        <w:tc>
          <w:tcPr>
            <w:tcW w:w="8706" w:type="dxa"/>
            <w:gridSpan w:val="4"/>
            <w:vMerge/>
            <w:tcBorders>
              <w:top w:val="nil"/>
              <w:left w:val="nil"/>
              <w:bottom w:val="nil"/>
              <w:right w:val="nil"/>
            </w:tcBorders>
            <w:vAlign w:val="center"/>
            <w:hideMark/>
          </w:tcPr>
          <w:p w:rsidR="00C72E5C" w:rsidRPr="00C72E5C" w:rsidRDefault="00C72E5C" w:rsidP="00C72E5C">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p>
        </w:tc>
      </w:tr>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17</w:t>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14</w:t>
            </w:r>
          </w:p>
        </w:tc>
        <w:tc>
          <w:tcPr>
            <w:tcW w:w="8706" w:type="dxa"/>
            <w:gridSpan w:val="4"/>
            <w:vMerge/>
            <w:tcBorders>
              <w:top w:val="nil"/>
              <w:left w:val="nil"/>
              <w:bottom w:val="nil"/>
              <w:right w:val="nil"/>
            </w:tcBorders>
            <w:vAlign w:val="center"/>
            <w:hideMark/>
          </w:tcPr>
          <w:p w:rsidR="00C72E5C" w:rsidRPr="00C72E5C" w:rsidRDefault="00C72E5C" w:rsidP="00C72E5C">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p>
        </w:tc>
      </w:tr>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18</w:t>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16</w:t>
            </w:r>
          </w:p>
        </w:tc>
        <w:tc>
          <w:tcPr>
            <w:tcW w:w="8706" w:type="dxa"/>
            <w:gridSpan w:val="4"/>
            <w:vMerge/>
            <w:tcBorders>
              <w:top w:val="nil"/>
              <w:left w:val="nil"/>
              <w:bottom w:val="nil"/>
              <w:right w:val="nil"/>
            </w:tcBorders>
            <w:vAlign w:val="center"/>
            <w:hideMark/>
          </w:tcPr>
          <w:p w:rsidR="00C72E5C" w:rsidRPr="00C72E5C" w:rsidRDefault="00C72E5C" w:rsidP="00C72E5C">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p>
        </w:tc>
      </w:tr>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19</w:t>
            </w: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r w:rsidRPr="00C72E5C">
              <w:rPr>
                <w:rFonts w:ascii="Verdana" w:eastAsia="Times New Roman" w:hAnsi="Verdana" w:cs="Calibri"/>
                <w:color w:val="000000"/>
              </w:rPr>
              <w:t>15</w:t>
            </w:r>
          </w:p>
        </w:tc>
        <w:tc>
          <w:tcPr>
            <w:tcW w:w="8706" w:type="dxa"/>
            <w:gridSpan w:val="4"/>
            <w:vMerge/>
            <w:tcBorders>
              <w:top w:val="nil"/>
              <w:left w:val="nil"/>
              <w:bottom w:val="nil"/>
              <w:right w:val="nil"/>
            </w:tcBorders>
            <w:vAlign w:val="center"/>
            <w:hideMark/>
          </w:tcPr>
          <w:p w:rsidR="00C72E5C" w:rsidRPr="00C72E5C" w:rsidRDefault="00C72E5C" w:rsidP="00C72E5C">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jc w:val="right"/>
              <w:rPr>
                <w:rFonts w:ascii="Verdana" w:eastAsia="Times New Roman" w:hAnsi="Verdana" w:cs="Calibri"/>
                <w:color w:val="000000"/>
              </w:rPr>
            </w:pPr>
          </w:p>
        </w:tc>
      </w:tr>
      <w:tr w:rsidR="00C72E5C" w:rsidRPr="00C72E5C" w:rsidTr="00C72E5C">
        <w:trPr>
          <w:trHeight w:val="300"/>
        </w:trPr>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rPr>
                <w:rFonts w:ascii="Times New Roman" w:eastAsia="Times New Roman" w:hAnsi="Times New Roman" w:cs="Times New Roman"/>
              </w:rPr>
            </w:pPr>
          </w:p>
        </w:tc>
        <w:tc>
          <w:tcPr>
            <w:tcW w:w="8706" w:type="dxa"/>
            <w:gridSpan w:val="4"/>
            <w:vMerge/>
            <w:tcBorders>
              <w:top w:val="nil"/>
              <w:left w:val="nil"/>
              <w:bottom w:val="nil"/>
              <w:right w:val="nil"/>
            </w:tcBorders>
            <w:vAlign w:val="center"/>
            <w:hideMark/>
          </w:tcPr>
          <w:p w:rsidR="00C72E5C" w:rsidRPr="00C72E5C" w:rsidRDefault="00C72E5C" w:rsidP="00C72E5C">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C72E5C" w:rsidRPr="00C72E5C" w:rsidRDefault="00C72E5C" w:rsidP="00C72E5C">
            <w:pPr>
              <w:spacing w:before="0" w:after="0" w:line="240" w:lineRule="auto"/>
              <w:rPr>
                <w:rFonts w:ascii="Times New Roman" w:eastAsia="Times New Roman" w:hAnsi="Times New Roman" w:cs="Times New Roman"/>
              </w:rPr>
            </w:pPr>
          </w:p>
        </w:tc>
      </w:tr>
    </w:tbl>
    <w:p w:rsidR="00FF0ABC" w:rsidRPr="00FB24DB" w:rsidRDefault="00DA7CF4" w:rsidP="00607AFC">
      <w:pPr>
        <w:pStyle w:val="NoSpacing"/>
        <w:rPr>
          <w:rFonts w:ascii="Verdana" w:hAnsi="Verdana" w:cs="Arial"/>
        </w:rPr>
      </w:pPr>
      <w:r w:rsidRPr="00DA7CF4">
        <w:rPr>
          <w:rFonts w:ascii="Arial" w:hAnsi="Arial" w:cs="Arial"/>
          <w:sz w:val="24"/>
          <w:szCs w:val="24"/>
        </w:rPr>
        <w:tab/>
      </w:r>
      <w:r w:rsidR="00FF0ABC" w:rsidRPr="00277F61">
        <w:rPr>
          <w:rFonts w:ascii="Verdana" w:hAnsi="Verdana" w:cs="Arial"/>
          <w:u w:val="single"/>
        </w:rPr>
        <w:t>Litigation Costs</w:t>
      </w:r>
    </w:p>
    <w:p w:rsidR="002B1098" w:rsidRPr="00277F61" w:rsidRDefault="00C17D70" w:rsidP="002B1098">
      <w:pPr>
        <w:pStyle w:val="NoSpacing"/>
        <w:jc w:val="both"/>
        <w:rPr>
          <w:rFonts w:ascii="Verdana" w:eastAsia="Times New Roman" w:hAnsi="Verdana" w:cs="Arial"/>
          <w:color w:val="000000"/>
        </w:rPr>
      </w:pPr>
      <w:r w:rsidRPr="00277F61">
        <w:rPr>
          <w:rFonts w:ascii="Verdana" w:hAnsi="Verdana" w:cs="Arial"/>
        </w:rPr>
        <w:tab/>
      </w:r>
      <w:r w:rsidR="009A712C" w:rsidRPr="00277F61">
        <w:rPr>
          <w:rFonts w:ascii="Verdana" w:hAnsi="Verdana" w:cs="Arial"/>
        </w:rPr>
        <w:t xml:space="preserve">Another cost </w:t>
      </w:r>
      <w:r w:rsidR="00144E8E">
        <w:rPr>
          <w:rFonts w:ascii="Verdana" w:hAnsi="Verdana" w:cs="Arial"/>
        </w:rPr>
        <w:t xml:space="preserve">item </w:t>
      </w:r>
      <w:r w:rsidR="002B1098">
        <w:rPr>
          <w:rFonts w:ascii="Verdana" w:hAnsi="Verdana" w:cs="Arial"/>
        </w:rPr>
        <w:t xml:space="preserve">for ISIF </w:t>
      </w:r>
      <w:r w:rsidR="009A712C" w:rsidRPr="00277F61">
        <w:rPr>
          <w:rFonts w:ascii="Verdana" w:hAnsi="Verdana" w:cs="Arial"/>
        </w:rPr>
        <w:t>is the ret</w:t>
      </w:r>
      <w:r w:rsidR="00873BEF" w:rsidRPr="00277F61">
        <w:rPr>
          <w:rFonts w:ascii="Verdana" w:hAnsi="Verdana" w:cs="Arial"/>
        </w:rPr>
        <w:t>ention of</w:t>
      </w:r>
      <w:r w:rsidR="009A712C" w:rsidRPr="00277F61">
        <w:rPr>
          <w:rFonts w:ascii="Verdana" w:hAnsi="Verdana" w:cs="Arial"/>
        </w:rPr>
        <w:t xml:space="preserve"> </w:t>
      </w:r>
      <w:r w:rsidR="002B1098">
        <w:rPr>
          <w:rFonts w:ascii="Verdana" w:hAnsi="Verdana" w:cs="Arial"/>
        </w:rPr>
        <w:t xml:space="preserve">attorneys </w:t>
      </w:r>
      <w:r w:rsidR="003E3F6E" w:rsidRPr="00277F61">
        <w:rPr>
          <w:rFonts w:ascii="Verdana" w:hAnsi="Verdana" w:cs="Arial"/>
        </w:rPr>
        <w:t>to represent</w:t>
      </w:r>
      <w:r w:rsidR="00875AE3" w:rsidRPr="00277F61">
        <w:rPr>
          <w:rFonts w:ascii="Verdana" w:hAnsi="Verdana" w:cs="Arial"/>
        </w:rPr>
        <w:t xml:space="preserve"> ISIF</w:t>
      </w:r>
      <w:r w:rsidR="003E3F6E" w:rsidRPr="00277F61">
        <w:rPr>
          <w:rFonts w:ascii="Verdana" w:hAnsi="Verdana" w:cs="Arial"/>
        </w:rPr>
        <w:t xml:space="preserve"> </w:t>
      </w:r>
      <w:r w:rsidR="009A712C" w:rsidRPr="00277F61">
        <w:rPr>
          <w:rFonts w:ascii="Verdana" w:hAnsi="Verdana" w:cs="Arial"/>
        </w:rPr>
        <w:t xml:space="preserve">in contested cases </w:t>
      </w:r>
      <w:r w:rsidR="002C6635" w:rsidRPr="00277F61">
        <w:rPr>
          <w:rFonts w:ascii="Verdana" w:hAnsi="Verdana" w:cs="Arial"/>
        </w:rPr>
        <w:t>once a complaint has been filed with</w:t>
      </w:r>
      <w:r w:rsidR="009A712C" w:rsidRPr="00277F61">
        <w:rPr>
          <w:rFonts w:ascii="Verdana" w:hAnsi="Verdana" w:cs="Arial"/>
        </w:rPr>
        <w:t xml:space="preserve"> the Industrial Commission.  </w:t>
      </w:r>
      <w:r w:rsidR="002B1098" w:rsidRPr="00277F61">
        <w:rPr>
          <w:rFonts w:ascii="Verdana" w:eastAsia="Times New Roman" w:hAnsi="Verdana" w:cs="Arial"/>
          <w:color w:val="000000"/>
        </w:rPr>
        <w:t xml:space="preserve">ISIF now has </w:t>
      </w:r>
      <w:r w:rsidR="002B1098">
        <w:rPr>
          <w:rFonts w:ascii="Verdana" w:eastAsia="Times New Roman" w:hAnsi="Verdana" w:cs="Arial"/>
          <w:color w:val="000000"/>
        </w:rPr>
        <w:t>6</w:t>
      </w:r>
      <w:r w:rsidR="002B1098" w:rsidRPr="00277F61">
        <w:rPr>
          <w:rFonts w:ascii="Verdana" w:eastAsia="Times New Roman" w:hAnsi="Verdana" w:cs="Arial"/>
          <w:color w:val="000000"/>
        </w:rPr>
        <w:t xml:space="preserve"> attorneys </w:t>
      </w:r>
      <w:r w:rsidR="002B1098">
        <w:rPr>
          <w:rFonts w:ascii="Verdana" w:eastAsia="Times New Roman" w:hAnsi="Verdana" w:cs="Arial"/>
          <w:color w:val="000000"/>
        </w:rPr>
        <w:t xml:space="preserve">in private practice </w:t>
      </w:r>
      <w:r w:rsidR="002B1098" w:rsidRPr="00277F61">
        <w:rPr>
          <w:rFonts w:ascii="Verdana" w:eastAsia="Times New Roman" w:hAnsi="Verdana" w:cs="Arial"/>
          <w:color w:val="000000"/>
        </w:rPr>
        <w:t>located across the state handl</w:t>
      </w:r>
      <w:r w:rsidR="002B1098">
        <w:rPr>
          <w:rFonts w:ascii="Verdana" w:eastAsia="Times New Roman" w:hAnsi="Verdana" w:cs="Arial"/>
          <w:color w:val="000000"/>
        </w:rPr>
        <w:t>ing</w:t>
      </w:r>
      <w:r w:rsidR="002B1098" w:rsidRPr="00277F61">
        <w:rPr>
          <w:rFonts w:ascii="Verdana" w:eastAsia="Times New Roman" w:hAnsi="Verdana" w:cs="Arial"/>
          <w:color w:val="000000"/>
        </w:rPr>
        <w:t xml:space="preserve"> claims and cases in their respective areas.  </w:t>
      </w:r>
      <w:r w:rsidR="002B1098">
        <w:rPr>
          <w:rFonts w:ascii="Verdana" w:eastAsia="Times New Roman" w:hAnsi="Verdana" w:cs="Arial"/>
          <w:color w:val="000000"/>
        </w:rPr>
        <w:t>T</w:t>
      </w:r>
      <w:r w:rsidR="002B1098" w:rsidRPr="00277F61">
        <w:rPr>
          <w:rFonts w:ascii="Verdana" w:eastAsia="Times New Roman" w:hAnsi="Verdana" w:cs="Arial"/>
          <w:color w:val="000000"/>
        </w:rPr>
        <w:t xml:space="preserve">he attorneys are well-experienced in the workers’ compensation industry with </w:t>
      </w:r>
      <w:r w:rsidR="006F220D">
        <w:rPr>
          <w:rFonts w:ascii="Verdana" w:eastAsia="Times New Roman" w:hAnsi="Verdana" w:cs="Arial"/>
          <w:color w:val="000000"/>
        </w:rPr>
        <w:t>significant competence</w:t>
      </w:r>
      <w:r w:rsidR="002B1098" w:rsidRPr="00277F61">
        <w:rPr>
          <w:rFonts w:ascii="Verdana" w:eastAsia="Times New Roman" w:hAnsi="Verdana" w:cs="Arial"/>
          <w:color w:val="000000"/>
        </w:rPr>
        <w:t xml:space="preserve"> with the second injury fund</w:t>
      </w:r>
      <w:r w:rsidR="00C11FA5">
        <w:rPr>
          <w:rFonts w:ascii="Verdana" w:eastAsia="Times New Roman" w:hAnsi="Verdana" w:cs="Arial"/>
          <w:color w:val="000000"/>
        </w:rPr>
        <w:t xml:space="preserve"> </w:t>
      </w:r>
      <w:r w:rsidR="006F220D">
        <w:rPr>
          <w:rFonts w:ascii="Verdana" w:eastAsia="Times New Roman" w:hAnsi="Verdana" w:cs="Arial"/>
          <w:color w:val="000000"/>
        </w:rPr>
        <w:t>over several decades.</w:t>
      </w:r>
      <w:r w:rsidR="002B1098" w:rsidRPr="00277F61">
        <w:rPr>
          <w:rFonts w:ascii="Verdana" w:eastAsia="Times New Roman" w:hAnsi="Verdana" w:cs="Arial"/>
          <w:color w:val="000000"/>
        </w:rPr>
        <w:t xml:space="preserve"> Such </w:t>
      </w:r>
      <w:r w:rsidR="006F220D">
        <w:rPr>
          <w:rFonts w:ascii="Verdana" w:eastAsia="Times New Roman" w:hAnsi="Verdana" w:cs="Arial"/>
          <w:color w:val="000000"/>
        </w:rPr>
        <w:t>experience</w:t>
      </w:r>
      <w:r w:rsidR="002B1098" w:rsidRPr="00277F61">
        <w:rPr>
          <w:rFonts w:ascii="Verdana" w:eastAsia="Times New Roman" w:hAnsi="Verdana" w:cs="Arial"/>
          <w:color w:val="000000"/>
        </w:rPr>
        <w:t xml:space="preserve"> adds to the increased professional stature and ability to resolve complex claims.  </w:t>
      </w:r>
    </w:p>
    <w:p w:rsidR="002B1098" w:rsidRDefault="002B1098" w:rsidP="00CA64FE">
      <w:pPr>
        <w:pStyle w:val="NoSpacing"/>
        <w:jc w:val="both"/>
        <w:rPr>
          <w:rFonts w:ascii="Verdana" w:hAnsi="Verdana" w:cs="Arial"/>
        </w:rPr>
      </w:pPr>
      <w:r>
        <w:rPr>
          <w:rFonts w:ascii="Verdana" w:hAnsi="Verdana" w:cs="Arial"/>
        </w:rPr>
        <w:tab/>
      </w:r>
      <w:r w:rsidR="006F220D">
        <w:rPr>
          <w:rFonts w:ascii="Verdana" w:hAnsi="Verdana" w:cs="Arial"/>
        </w:rPr>
        <w:t xml:space="preserve">The attorneys invoice </w:t>
      </w:r>
      <w:r w:rsidR="0014063F" w:rsidRPr="00277F61">
        <w:rPr>
          <w:rFonts w:ascii="Verdana" w:hAnsi="Verdana" w:cs="Arial"/>
        </w:rPr>
        <w:t>costs</w:t>
      </w:r>
      <w:r>
        <w:rPr>
          <w:rFonts w:ascii="Verdana" w:hAnsi="Verdana" w:cs="Arial"/>
        </w:rPr>
        <w:t xml:space="preserve"> </w:t>
      </w:r>
      <w:r w:rsidR="006F220D">
        <w:rPr>
          <w:rFonts w:ascii="Verdana" w:hAnsi="Verdana" w:cs="Arial"/>
        </w:rPr>
        <w:t>for</w:t>
      </w:r>
      <w:r w:rsidR="00594E62">
        <w:rPr>
          <w:rFonts w:ascii="Verdana" w:hAnsi="Verdana" w:cs="Arial"/>
        </w:rPr>
        <w:t xml:space="preserve"> each claim file.  The fees and costs</w:t>
      </w:r>
      <w:r w:rsidR="0014063F" w:rsidRPr="00277F61">
        <w:rPr>
          <w:rFonts w:ascii="Verdana" w:hAnsi="Verdana" w:cs="Arial"/>
        </w:rPr>
        <w:t xml:space="preserve"> include </w:t>
      </w:r>
      <w:r w:rsidR="003E3F6E" w:rsidRPr="00277F61">
        <w:rPr>
          <w:rFonts w:ascii="Verdana" w:hAnsi="Verdana" w:cs="Arial"/>
        </w:rPr>
        <w:t xml:space="preserve">initial evaluation of the claim, </w:t>
      </w:r>
      <w:r w:rsidR="00171C4D" w:rsidRPr="00277F61">
        <w:rPr>
          <w:rFonts w:ascii="Verdana" w:hAnsi="Verdana" w:cs="Arial"/>
        </w:rPr>
        <w:t xml:space="preserve">receipt and </w:t>
      </w:r>
      <w:r w:rsidR="003774A6" w:rsidRPr="00277F61">
        <w:rPr>
          <w:rFonts w:ascii="Verdana" w:hAnsi="Verdana" w:cs="Arial"/>
        </w:rPr>
        <w:t>review</w:t>
      </w:r>
      <w:r w:rsidR="00171C4D" w:rsidRPr="00277F61">
        <w:rPr>
          <w:rFonts w:ascii="Verdana" w:hAnsi="Verdana" w:cs="Arial"/>
        </w:rPr>
        <w:t xml:space="preserve"> of extensive medical </w:t>
      </w:r>
      <w:r w:rsidR="00324D17" w:rsidRPr="00277F61">
        <w:rPr>
          <w:rFonts w:ascii="Verdana" w:hAnsi="Verdana" w:cs="Arial"/>
        </w:rPr>
        <w:t>records</w:t>
      </w:r>
      <w:r w:rsidR="00171C4D" w:rsidRPr="00277F61">
        <w:rPr>
          <w:rFonts w:ascii="Verdana" w:hAnsi="Verdana" w:cs="Arial"/>
        </w:rPr>
        <w:t xml:space="preserve">, </w:t>
      </w:r>
      <w:r w:rsidR="008B2762" w:rsidRPr="00277F61">
        <w:rPr>
          <w:rFonts w:ascii="Verdana" w:hAnsi="Verdana" w:cs="Arial"/>
        </w:rPr>
        <w:t xml:space="preserve">pre-hearing </w:t>
      </w:r>
      <w:r w:rsidR="0014063F" w:rsidRPr="00277F61">
        <w:rPr>
          <w:rFonts w:ascii="Verdana" w:hAnsi="Verdana" w:cs="Arial"/>
        </w:rPr>
        <w:t xml:space="preserve">depositions, travel, </w:t>
      </w:r>
      <w:r w:rsidR="00875AE3" w:rsidRPr="00277F61">
        <w:rPr>
          <w:rFonts w:ascii="Verdana" w:hAnsi="Verdana" w:cs="Arial"/>
        </w:rPr>
        <w:t xml:space="preserve">review </w:t>
      </w:r>
      <w:r w:rsidR="00144E8E">
        <w:rPr>
          <w:rFonts w:ascii="Verdana" w:hAnsi="Verdana" w:cs="Arial"/>
        </w:rPr>
        <w:t>of</w:t>
      </w:r>
      <w:r w:rsidR="00875AE3" w:rsidRPr="00277F61">
        <w:rPr>
          <w:rFonts w:ascii="Verdana" w:hAnsi="Verdana" w:cs="Arial"/>
        </w:rPr>
        <w:t xml:space="preserve"> </w:t>
      </w:r>
      <w:r w:rsidR="00171C4D" w:rsidRPr="00277F61">
        <w:rPr>
          <w:rFonts w:ascii="Verdana" w:hAnsi="Verdana" w:cs="Arial"/>
        </w:rPr>
        <w:t>employment and vocational information,</w:t>
      </w:r>
      <w:r w:rsidR="00875AE3" w:rsidRPr="00277F61">
        <w:rPr>
          <w:rFonts w:ascii="Verdana" w:hAnsi="Verdana" w:cs="Arial"/>
        </w:rPr>
        <w:t xml:space="preserve"> analyze</w:t>
      </w:r>
      <w:r w:rsidR="0014063F" w:rsidRPr="00277F61">
        <w:rPr>
          <w:rFonts w:ascii="Verdana" w:hAnsi="Verdana" w:cs="Arial"/>
        </w:rPr>
        <w:t xml:space="preserve"> </w:t>
      </w:r>
      <w:r w:rsidR="008B2762" w:rsidRPr="00277F61">
        <w:rPr>
          <w:rFonts w:ascii="Verdana" w:hAnsi="Verdana" w:cs="Arial"/>
        </w:rPr>
        <w:t>potential</w:t>
      </w:r>
      <w:r w:rsidR="0014063F" w:rsidRPr="00277F61">
        <w:rPr>
          <w:rFonts w:ascii="Verdana" w:hAnsi="Verdana" w:cs="Arial"/>
        </w:rPr>
        <w:t xml:space="preserve"> issues</w:t>
      </w:r>
      <w:r w:rsidR="008B2762" w:rsidRPr="00277F61">
        <w:rPr>
          <w:rFonts w:ascii="Verdana" w:hAnsi="Verdana" w:cs="Arial"/>
        </w:rPr>
        <w:t xml:space="preserve"> and defense strategies</w:t>
      </w:r>
      <w:r w:rsidR="0014063F" w:rsidRPr="00277F61">
        <w:rPr>
          <w:rFonts w:ascii="Verdana" w:hAnsi="Verdana" w:cs="Arial"/>
        </w:rPr>
        <w:t>,</w:t>
      </w:r>
      <w:r w:rsidR="00171C4D" w:rsidRPr="00277F61">
        <w:rPr>
          <w:rFonts w:ascii="Verdana" w:hAnsi="Verdana" w:cs="Arial"/>
        </w:rPr>
        <w:t xml:space="preserve"> </w:t>
      </w:r>
      <w:r w:rsidR="00726A6A" w:rsidRPr="00277F61">
        <w:rPr>
          <w:rFonts w:ascii="Verdana" w:hAnsi="Verdana" w:cs="Arial"/>
        </w:rPr>
        <w:t xml:space="preserve">furnish written </w:t>
      </w:r>
      <w:r w:rsidR="00171C4D" w:rsidRPr="00277F61">
        <w:rPr>
          <w:rFonts w:ascii="Verdana" w:hAnsi="Verdana" w:cs="Arial"/>
        </w:rPr>
        <w:t>summaries</w:t>
      </w:r>
      <w:r w:rsidR="00726A6A" w:rsidRPr="00277F61">
        <w:rPr>
          <w:rFonts w:ascii="Verdana" w:hAnsi="Verdana" w:cs="Arial"/>
        </w:rPr>
        <w:t xml:space="preserve"> of the analysis</w:t>
      </w:r>
      <w:r w:rsidR="00171C4D" w:rsidRPr="00277F61">
        <w:rPr>
          <w:rFonts w:ascii="Verdana" w:hAnsi="Verdana" w:cs="Arial"/>
        </w:rPr>
        <w:t>,</w:t>
      </w:r>
      <w:r w:rsidR="008B2762" w:rsidRPr="00277F61">
        <w:rPr>
          <w:rFonts w:ascii="Verdana" w:hAnsi="Verdana" w:cs="Arial"/>
        </w:rPr>
        <w:t xml:space="preserve"> </w:t>
      </w:r>
      <w:r w:rsidR="00171C4D" w:rsidRPr="00277F61">
        <w:rPr>
          <w:rFonts w:ascii="Verdana" w:hAnsi="Verdana" w:cs="Arial"/>
        </w:rPr>
        <w:t xml:space="preserve">preparation and attendance at </w:t>
      </w:r>
      <w:r w:rsidR="008B2762" w:rsidRPr="00277F61">
        <w:rPr>
          <w:rFonts w:ascii="Verdana" w:hAnsi="Verdana" w:cs="Arial"/>
        </w:rPr>
        <w:t>evidentiary hearings, post-hearing depositions,</w:t>
      </w:r>
      <w:r w:rsidR="0014063F" w:rsidRPr="00277F61">
        <w:rPr>
          <w:rFonts w:ascii="Verdana" w:hAnsi="Verdana" w:cs="Arial"/>
        </w:rPr>
        <w:t xml:space="preserve"> and formal legal briefing to the Industrial </w:t>
      </w:r>
      <w:r w:rsidR="001A2AF9" w:rsidRPr="00277F61">
        <w:rPr>
          <w:rFonts w:ascii="Verdana" w:hAnsi="Verdana" w:cs="Arial"/>
        </w:rPr>
        <w:t>C</w:t>
      </w:r>
      <w:r w:rsidR="0014063F" w:rsidRPr="00277F61">
        <w:rPr>
          <w:rFonts w:ascii="Verdana" w:hAnsi="Verdana" w:cs="Arial"/>
        </w:rPr>
        <w:t>ommission</w:t>
      </w:r>
      <w:r w:rsidR="00387FB7" w:rsidRPr="00277F61">
        <w:rPr>
          <w:rFonts w:ascii="Verdana" w:hAnsi="Verdana" w:cs="Arial"/>
        </w:rPr>
        <w:t xml:space="preserve"> and, in selected cases, the Idaho Supreme Court</w:t>
      </w:r>
      <w:r w:rsidR="001A2AF9" w:rsidRPr="00277F61">
        <w:rPr>
          <w:rFonts w:ascii="Verdana" w:hAnsi="Verdana" w:cs="Arial"/>
        </w:rPr>
        <w:t>.</w:t>
      </w:r>
      <w:r>
        <w:rPr>
          <w:rFonts w:ascii="Verdana" w:hAnsi="Verdana" w:cs="Arial"/>
        </w:rPr>
        <w:t xml:space="preserve"> </w:t>
      </w:r>
      <w:r w:rsidR="005C515A" w:rsidRPr="00277F61">
        <w:rPr>
          <w:rFonts w:ascii="Verdana" w:hAnsi="Verdana" w:cs="Arial"/>
        </w:rPr>
        <w:t xml:space="preserve"> </w:t>
      </w:r>
    </w:p>
    <w:p w:rsidR="00481298" w:rsidRDefault="002B1098" w:rsidP="00CA64FE">
      <w:pPr>
        <w:pStyle w:val="NoSpacing"/>
        <w:jc w:val="both"/>
        <w:rPr>
          <w:rFonts w:ascii="Verdana" w:hAnsi="Verdana" w:cs="Arial"/>
        </w:rPr>
      </w:pPr>
      <w:r>
        <w:rPr>
          <w:rFonts w:ascii="Verdana" w:hAnsi="Verdana" w:cs="Arial"/>
        </w:rPr>
        <w:tab/>
      </w:r>
      <w:r w:rsidR="0033007F" w:rsidRPr="00277F61">
        <w:rPr>
          <w:rFonts w:ascii="Verdana" w:hAnsi="Verdana" w:cs="Arial"/>
        </w:rPr>
        <w:t xml:space="preserve">Over the past several years, </w:t>
      </w:r>
      <w:r w:rsidR="004935D5" w:rsidRPr="00277F61">
        <w:rPr>
          <w:rFonts w:ascii="Verdana" w:hAnsi="Verdana" w:cs="Arial"/>
        </w:rPr>
        <w:t xml:space="preserve">professional fees and </w:t>
      </w:r>
      <w:r w:rsidR="0033007F" w:rsidRPr="00277F61">
        <w:rPr>
          <w:rFonts w:ascii="Verdana" w:hAnsi="Verdana" w:cs="Arial"/>
        </w:rPr>
        <w:t xml:space="preserve">costs have </w:t>
      </w:r>
      <w:r>
        <w:rPr>
          <w:rFonts w:ascii="Verdana" w:hAnsi="Verdana" w:cs="Arial"/>
        </w:rPr>
        <w:t>declined</w:t>
      </w:r>
      <w:r w:rsidR="0033007F" w:rsidRPr="00277F61">
        <w:rPr>
          <w:rFonts w:ascii="Verdana" w:hAnsi="Verdana" w:cs="Arial"/>
        </w:rPr>
        <w:t xml:space="preserve"> even though the caseloads for each attorney have </w:t>
      </w:r>
      <w:r w:rsidR="00F84AC8" w:rsidRPr="00277F61">
        <w:rPr>
          <w:rFonts w:ascii="Verdana" w:hAnsi="Verdana" w:cs="Arial"/>
        </w:rPr>
        <w:t xml:space="preserve">become </w:t>
      </w:r>
      <w:r w:rsidR="0033007F" w:rsidRPr="00277F61">
        <w:rPr>
          <w:rFonts w:ascii="Verdana" w:hAnsi="Verdana" w:cs="Arial"/>
        </w:rPr>
        <w:t>increas</w:t>
      </w:r>
      <w:r w:rsidR="00F84AC8" w:rsidRPr="00277F61">
        <w:rPr>
          <w:rFonts w:ascii="Verdana" w:hAnsi="Verdana" w:cs="Arial"/>
        </w:rPr>
        <w:t>ingly more complex</w:t>
      </w:r>
      <w:r w:rsidR="0033007F" w:rsidRPr="00277F61">
        <w:rPr>
          <w:rFonts w:ascii="Verdana" w:hAnsi="Verdana" w:cs="Arial"/>
        </w:rPr>
        <w:t xml:space="preserve">.  </w:t>
      </w:r>
      <w:r w:rsidR="000F5475" w:rsidRPr="00277F61">
        <w:rPr>
          <w:rFonts w:ascii="Verdana" w:hAnsi="Verdana" w:cs="Arial"/>
        </w:rPr>
        <w:t xml:space="preserve">The </w:t>
      </w:r>
      <w:r w:rsidR="00581FAA" w:rsidRPr="00277F61">
        <w:rPr>
          <w:rFonts w:ascii="Verdana" w:hAnsi="Verdana" w:cs="Arial"/>
        </w:rPr>
        <w:t xml:space="preserve">next </w:t>
      </w:r>
      <w:r w:rsidR="000F5475" w:rsidRPr="00277F61">
        <w:rPr>
          <w:rFonts w:ascii="Verdana" w:hAnsi="Verdana" w:cs="Arial"/>
        </w:rPr>
        <w:t xml:space="preserve">chart illustrates the </w:t>
      </w:r>
      <w:r w:rsidR="00BC1461" w:rsidRPr="00277F61">
        <w:rPr>
          <w:rFonts w:ascii="Verdana" w:hAnsi="Verdana" w:cs="Arial"/>
        </w:rPr>
        <w:t xml:space="preserve">annual </w:t>
      </w:r>
      <w:r w:rsidR="000F5475" w:rsidRPr="00277F61">
        <w:rPr>
          <w:rFonts w:ascii="Verdana" w:hAnsi="Verdana" w:cs="Arial"/>
        </w:rPr>
        <w:t>cost</w:t>
      </w:r>
      <w:r w:rsidR="005B085F" w:rsidRPr="00277F61">
        <w:rPr>
          <w:rFonts w:ascii="Verdana" w:hAnsi="Verdana" w:cs="Arial"/>
        </w:rPr>
        <w:t>s</w:t>
      </w:r>
      <w:r w:rsidR="000F5475" w:rsidRPr="00277F61">
        <w:rPr>
          <w:rFonts w:ascii="Verdana" w:hAnsi="Verdana" w:cs="Arial"/>
        </w:rPr>
        <w:t xml:space="preserve"> </w:t>
      </w:r>
      <w:r w:rsidR="00F84AC8" w:rsidRPr="00277F61">
        <w:rPr>
          <w:rFonts w:ascii="Verdana" w:hAnsi="Verdana" w:cs="Arial"/>
        </w:rPr>
        <w:t>for</w:t>
      </w:r>
      <w:r w:rsidR="000F5475" w:rsidRPr="00277F61">
        <w:rPr>
          <w:rFonts w:ascii="Verdana" w:hAnsi="Verdana" w:cs="Arial"/>
        </w:rPr>
        <w:t xml:space="preserve"> legal representation </w:t>
      </w:r>
      <w:r w:rsidR="00F84AC8" w:rsidRPr="00277F61">
        <w:rPr>
          <w:rFonts w:ascii="Verdana" w:hAnsi="Verdana" w:cs="Arial"/>
        </w:rPr>
        <w:t>of</w:t>
      </w:r>
      <w:r w:rsidR="000F5475" w:rsidRPr="00277F61">
        <w:rPr>
          <w:rFonts w:ascii="Verdana" w:hAnsi="Verdana" w:cs="Arial"/>
        </w:rPr>
        <w:t xml:space="preserve"> the ISIF</w:t>
      </w:r>
      <w:r w:rsidR="00481298">
        <w:rPr>
          <w:rFonts w:ascii="Verdana" w:hAnsi="Verdana" w:cs="Arial"/>
        </w:rPr>
        <w:t xml:space="preserve">. </w:t>
      </w:r>
    </w:p>
    <w:p w:rsidR="003A507B" w:rsidRDefault="00481298" w:rsidP="00CA64FE">
      <w:pPr>
        <w:pStyle w:val="NoSpacing"/>
        <w:jc w:val="both"/>
        <w:rPr>
          <w:rFonts w:ascii="Verdana" w:hAnsi="Verdana" w:cs="Arial"/>
        </w:rPr>
      </w:pPr>
      <w:r>
        <w:rPr>
          <w:rFonts w:ascii="Verdana" w:hAnsi="Verdana" w:cs="Arial"/>
        </w:rPr>
        <w:t xml:space="preserve"> </w:t>
      </w:r>
    </w:p>
    <w:tbl>
      <w:tblPr>
        <w:tblW w:w="11554" w:type="dxa"/>
        <w:tblInd w:w="108" w:type="dxa"/>
        <w:tblLook w:val="04A0" w:firstRow="1" w:lastRow="0" w:firstColumn="1" w:lastColumn="0" w:noHBand="0" w:noVBand="1"/>
      </w:tblPr>
      <w:tblGrid>
        <w:gridCol w:w="956"/>
        <w:gridCol w:w="1216"/>
        <w:gridCol w:w="222"/>
        <w:gridCol w:w="2860"/>
        <w:gridCol w:w="222"/>
        <w:gridCol w:w="222"/>
        <w:gridCol w:w="976"/>
        <w:gridCol w:w="976"/>
        <w:gridCol w:w="976"/>
        <w:gridCol w:w="976"/>
        <w:gridCol w:w="976"/>
        <w:gridCol w:w="976"/>
      </w:tblGrid>
      <w:tr w:rsidR="003A507B" w:rsidRPr="003A507B" w:rsidTr="006F15B9">
        <w:trPr>
          <w:trHeight w:val="300"/>
        </w:trPr>
        <w:tc>
          <w:tcPr>
            <w:tcW w:w="95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sz w:val="24"/>
                <w:szCs w:val="24"/>
              </w:rPr>
            </w:pPr>
          </w:p>
        </w:tc>
        <w:tc>
          <w:tcPr>
            <w:tcW w:w="121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3304" w:type="dxa"/>
            <w:gridSpan w:val="3"/>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Verdana" w:eastAsia="Times New Roman" w:hAnsi="Verdana" w:cs="Calibri"/>
                <w:color w:val="000000"/>
              </w:rPr>
            </w:pPr>
            <w:r w:rsidRPr="003A507B">
              <w:rPr>
                <w:rFonts w:ascii="Verdana" w:eastAsia="Times New Roman" w:hAnsi="Verdana" w:cs="Calibri"/>
                <w:b/>
                <w:bCs/>
                <w:color w:val="000000"/>
              </w:rPr>
              <w:t>Legal Costs    FY</w:t>
            </w: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r>
      <w:tr w:rsidR="003A507B" w:rsidRPr="003A507B" w:rsidTr="006F15B9">
        <w:trPr>
          <w:trHeight w:val="300"/>
        </w:trPr>
        <w:tc>
          <w:tcPr>
            <w:tcW w:w="95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2009</w:t>
            </w:r>
          </w:p>
        </w:tc>
        <w:tc>
          <w:tcPr>
            <w:tcW w:w="121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590,741</w:t>
            </w: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p>
        </w:tc>
        <w:tc>
          <w:tcPr>
            <w:tcW w:w="2860"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Calibri" w:eastAsia="Times New Roman" w:hAnsi="Calibri" w:cs="Calibri"/>
                <w:color w:val="000000"/>
                <w:sz w:val="22"/>
                <w:szCs w:val="22"/>
              </w:rPr>
            </w:pPr>
            <w:r w:rsidRPr="003A507B">
              <w:rPr>
                <w:rFonts w:ascii="Calibri" w:eastAsia="Times New Roman" w:hAnsi="Calibri" w:cs="Calibri"/>
                <w:noProof/>
                <w:color w:val="000000"/>
                <w:sz w:val="22"/>
                <w:szCs w:val="22"/>
              </w:rPr>
              <w:drawing>
                <wp:anchor distT="0" distB="0" distL="114300" distR="114300" simplePos="0" relativeHeight="251662848" behindDoc="0" locked="0" layoutInCell="1" allowOverlap="1">
                  <wp:simplePos x="0" y="0"/>
                  <wp:positionH relativeFrom="column">
                    <wp:posOffset>-188595</wp:posOffset>
                  </wp:positionH>
                  <wp:positionV relativeFrom="paragraph">
                    <wp:posOffset>61595</wp:posOffset>
                  </wp:positionV>
                  <wp:extent cx="4690745" cy="2240915"/>
                  <wp:effectExtent l="0" t="0" r="14605" b="6985"/>
                  <wp:wrapNone/>
                  <wp:docPr id="9" name="Chart 9">
                    <a:extLst xmlns:a="http://schemas.openxmlformats.org/drawingml/2006/main">
                      <a:ext uri="{FF2B5EF4-FFF2-40B4-BE49-F238E27FC236}">
                        <a16:creationId xmlns:a16="http://schemas.microsoft.com/office/drawing/2014/main" id="{407C23CB-1B05-4AD5-AF76-4B2D006F86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60"/>
            </w:tblGrid>
            <w:tr w:rsidR="003A507B" w:rsidRPr="003A507B">
              <w:trPr>
                <w:trHeight w:val="300"/>
                <w:tblCellSpacing w:w="0" w:type="dxa"/>
              </w:trPr>
              <w:tc>
                <w:tcPr>
                  <w:tcW w:w="960"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Calibri" w:eastAsia="Times New Roman" w:hAnsi="Calibri" w:cs="Calibri"/>
                      <w:color w:val="000000"/>
                      <w:sz w:val="22"/>
                      <w:szCs w:val="22"/>
                    </w:rPr>
                  </w:pPr>
                </w:p>
              </w:tc>
            </w:tr>
          </w:tbl>
          <w:p w:rsidR="003A507B" w:rsidRPr="003A507B" w:rsidRDefault="003A507B" w:rsidP="003A507B">
            <w:pPr>
              <w:spacing w:before="0" w:after="0" w:line="240" w:lineRule="auto"/>
              <w:rPr>
                <w:rFonts w:ascii="Calibri" w:eastAsia="Times New Roman" w:hAnsi="Calibri" w:cs="Calibri"/>
                <w:color w:val="000000"/>
                <w:sz w:val="22"/>
                <w:szCs w:val="22"/>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r>
      <w:tr w:rsidR="003A507B" w:rsidRPr="003A507B" w:rsidTr="006F15B9">
        <w:trPr>
          <w:trHeight w:val="300"/>
        </w:trPr>
        <w:tc>
          <w:tcPr>
            <w:tcW w:w="95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10</w:t>
            </w:r>
          </w:p>
        </w:tc>
        <w:tc>
          <w:tcPr>
            <w:tcW w:w="121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737,962</w:t>
            </w: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p>
        </w:tc>
        <w:tc>
          <w:tcPr>
            <w:tcW w:w="2860"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r>
      <w:tr w:rsidR="003A507B" w:rsidRPr="003A507B" w:rsidTr="006F15B9">
        <w:trPr>
          <w:trHeight w:val="300"/>
        </w:trPr>
        <w:tc>
          <w:tcPr>
            <w:tcW w:w="95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11</w:t>
            </w:r>
          </w:p>
        </w:tc>
        <w:tc>
          <w:tcPr>
            <w:tcW w:w="121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493,173</w:t>
            </w: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p>
        </w:tc>
        <w:tc>
          <w:tcPr>
            <w:tcW w:w="2860"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r>
      <w:tr w:rsidR="003A507B" w:rsidRPr="003A507B" w:rsidTr="006F15B9">
        <w:trPr>
          <w:trHeight w:val="300"/>
        </w:trPr>
        <w:tc>
          <w:tcPr>
            <w:tcW w:w="95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12</w:t>
            </w:r>
          </w:p>
        </w:tc>
        <w:tc>
          <w:tcPr>
            <w:tcW w:w="121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597,368</w:t>
            </w: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p>
        </w:tc>
        <w:tc>
          <w:tcPr>
            <w:tcW w:w="2860"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r>
      <w:tr w:rsidR="003A507B" w:rsidRPr="003A507B" w:rsidTr="006F15B9">
        <w:trPr>
          <w:trHeight w:val="300"/>
        </w:trPr>
        <w:tc>
          <w:tcPr>
            <w:tcW w:w="95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13</w:t>
            </w:r>
          </w:p>
        </w:tc>
        <w:tc>
          <w:tcPr>
            <w:tcW w:w="121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636,929</w:t>
            </w: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p>
        </w:tc>
        <w:tc>
          <w:tcPr>
            <w:tcW w:w="2860"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r>
      <w:tr w:rsidR="003A507B" w:rsidRPr="003A507B" w:rsidTr="006F15B9">
        <w:trPr>
          <w:trHeight w:val="300"/>
        </w:trPr>
        <w:tc>
          <w:tcPr>
            <w:tcW w:w="95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14</w:t>
            </w:r>
          </w:p>
        </w:tc>
        <w:tc>
          <w:tcPr>
            <w:tcW w:w="121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599,901</w:t>
            </w: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p>
        </w:tc>
        <w:tc>
          <w:tcPr>
            <w:tcW w:w="2860"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r>
      <w:tr w:rsidR="003A507B" w:rsidRPr="003A507B" w:rsidTr="006F15B9">
        <w:trPr>
          <w:trHeight w:val="300"/>
        </w:trPr>
        <w:tc>
          <w:tcPr>
            <w:tcW w:w="95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15</w:t>
            </w:r>
          </w:p>
        </w:tc>
        <w:tc>
          <w:tcPr>
            <w:tcW w:w="121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598,694</w:t>
            </w: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p>
        </w:tc>
        <w:tc>
          <w:tcPr>
            <w:tcW w:w="2860"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r>
      <w:tr w:rsidR="003A507B" w:rsidRPr="003A507B" w:rsidTr="006F15B9">
        <w:trPr>
          <w:trHeight w:val="300"/>
        </w:trPr>
        <w:tc>
          <w:tcPr>
            <w:tcW w:w="95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16</w:t>
            </w:r>
          </w:p>
        </w:tc>
        <w:tc>
          <w:tcPr>
            <w:tcW w:w="121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558,405</w:t>
            </w: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p>
        </w:tc>
        <w:tc>
          <w:tcPr>
            <w:tcW w:w="2860"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r>
      <w:tr w:rsidR="003A507B" w:rsidRPr="003A507B" w:rsidTr="006F15B9">
        <w:trPr>
          <w:trHeight w:val="300"/>
        </w:trPr>
        <w:tc>
          <w:tcPr>
            <w:tcW w:w="95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17</w:t>
            </w:r>
          </w:p>
        </w:tc>
        <w:tc>
          <w:tcPr>
            <w:tcW w:w="121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508,234</w:t>
            </w: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p>
        </w:tc>
        <w:tc>
          <w:tcPr>
            <w:tcW w:w="2860"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r>
      <w:tr w:rsidR="003A507B" w:rsidRPr="003A507B" w:rsidTr="006F15B9">
        <w:trPr>
          <w:trHeight w:val="300"/>
        </w:trPr>
        <w:tc>
          <w:tcPr>
            <w:tcW w:w="95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18</w:t>
            </w:r>
          </w:p>
        </w:tc>
        <w:tc>
          <w:tcPr>
            <w:tcW w:w="121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469,728</w:t>
            </w: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p>
        </w:tc>
        <w:tc>
          <w:tcPr>
            <w:tcW w:w="2860"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r>
      <w:tr w:rsidR="003A507B" w:rsidRPr="003A507B" w:rsidTr="006F15B9">
        <w:trPr>
          <w:trHeight w:val="300"/>
        </w:trPr>
        <w:tc>
          <w:tcPr>
            <w:tcW w:w="95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Calibri" w:eastAsia="Times New Roman" w:hAnsi="Calibri" w:cs="Calibri"/>
                <w:color w:val="000000"/>
              </w:rPr>
            </w:pPr>
            <w:r w:rsidRPr="003A507B">
              <w:rPr>
                <w:rFonts w:ascii="Calibri" w:eastAsia="Times New Roman" w:hAnsi="Calibri" w:cs="Calibri"/>
                <w:color w:val="000000"/>
              </w:rPr>
              <w:t>19</w:t>
            </w:r>
          </w:p>
        </w:tc>
        <w:tc>
          <w:tcPr>
            <w:tcW w:w="121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r w:rsidRPr="003A507B">
              <w:rPr>
                <w:rFonts w:ascii="Verdana" w:eastAsia="Times New Roman" w:hAnsi="Verdana" w:cs="Calibri"/>
                <w:color w:val="000000"/>
              </w:rPr>
              <w:t>380,338</w:t>
            </w: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jc w:val="right"/>
              <w:rPr>
                <w:rFonts w:ascii="Verdana" w:eastAsia="Times New Roman" w:hAnsi="Verdana" w:cs="Calibri"/>
                <w:color w:val="000000"/>
              </w:rPr>
            </w:pPr>
          </w:p>
        </w:tc>
        <w:tc>
          <w:tcPr>
            <w:tcW w:w="2860"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3A507B" w:rsidRPr="003A507B" w:rsidRDefault="003A507B" w:rsidP="003A507B">
            <w:pPr>
              <w:spacing w:before="0" w:after="0" w:line="240" w:lineRule="auto"/>
              <w:rPr>
                <w:rFonts w:ascii="Times New Roman" w:eastAsia="Times New Roman" w:hAnsi="Times New Roman" w:cs="Times New Roman"/>
              </w:rPr>
            </w:pPr>
          </w:p>
        </w:tc>
      </w:tr>
    </w:tbl>
    <w:p w:rsidR="00B222F4" w:rsidRPr="00481298" w:rsidRDefault="00844C07" w:rsidP="00844C07">
      <w:pPr>
        <w:jc w:val="both"/>
        <w:rPr>
          <w:rFonts w:ascii="Arial" w:eastAsia="Times New Roman" w:hAnsi="Arial" w:cs="Arial"/>
          <w:color w:val="000000"/>
          <w:sz w:val="24"/>
          <w:szCs w:val="24"/>
        </w:rPr>
      </w:pPr>
      <w:r>
        <w:rPr>
          <w:rFonts w:ascii="Arial" w:eastAsia="Times New Roman" w:hAnsi="Arial" w:cs="Arial"/>
          <w:color w:val="000000"/>
          <w:sz w:val="24"/>
          <w:szCs w:val="24"/>
        </w:rPr>
        <w:lastRenderedPageBreak/>
        <w:tab/>
      </w:r>
      <w:r w:rsidR="00F8046A" w:rsidRPr="00277F61">
        <w:rPr>
          <w:rFonts w:ascii="Verdana" w:eastAsia="Times New Roman" w:hAnsi="Verdana" w:cs="Arial"/>
          <w:color w:val="000000"/>
        </w:rPr>
        <w:t xml:space="preserve">The </w:t>
      </w:r>
      <w:r w:rsidRPr="00277F61">
        <w:rPr>
          <w:rFonts w:ascii="Verdana" w:eastAsia="Times New Roman" w:hAnsi="Verdana" w:cs="Arial"/>
          <w:color w:val="000000"/>
        </w:rPr>
        <w:t xml:space="preserve">trend is largely due to the active participation by </w:t>
      </w:r>
      <w:r w:rsidR="003A3841" w:rsidRPr="00277F61">
        <w:rPr>
          <w:rFonts w:ascii="Verdana" w:eastAsia="Times New Roman" w:hAnsi="Verdana" w:cs="Arial"/>
          <w:color w:val="000000"/>
        </w:rPr>
        <w:t xml:space="preserve">administrative </w:t>
      </w:r>
      <w:r w:rsidRPr="00277F61">
        <w:rPr>
          <w:rFonts w:ascii="Verdana" w:eastAsia="Times New Roman" w:hAnsi="Verdana" w:cs="Arial"/>
          <w:color w:val="000000"/>
        </w:rPr>
        <w:t xml:space="preserve">staff in all phases of each case with the attorney assigned to represent the ISIF.  This active involvement has led to more efficient representation by outside counsel directing resources to meaningful defense strategies </w:t>
      </w:r>
      <w:r w:rsidR="00D81B6F">
        <w:rPr>
          <w:rFonts w:ascii="Verdana" w:eastAsia="Times New Roman" w:hAnsi="Verdana" w:cs="Arial"/>
          <w:color w:val="000000"/>
        </w:rPr>
        <w:t xml:space="preserve">and </w:t>
      </w:r>
      <w:r w:rsidRPr="00277F61">
        <w:rPr>
          <w:rFonts w:ascii="Verdana" w:eastAsia="Times New Roman" w:hAnsi="Verdana" w:cs="Arial"/>
          <w:color w:val="000000"/>
        </w:rPr>
        <w:t xml:space="preserve">more successful outcomes </w:t>
      </w:r>
      <w:r w:rsidR="003A3841" w:rsidRPr="00277F61">
        <w:rPr>
          <w:rFonts w:ascii="Verdana" w:eastAsia="Times New Roman" w:hAnsi="Verdana" w:cs="Arial"/>
          <w:color w:val="000000"/>
        </w:rPr>
        <w:t xml:space="preserve">with </w:t>
      </w:r>
      <w:r w:rsidRPr="00277F61">
        <w:rPr>
          <w:rFonts w:ascii="Verdana" w:eastAsia="Times New Roman" w:hAnsi="Verdana" w:cs="Arial"/>
          <w:color w:val="000000"/>
        </w:rPr>
        <w:t>settlements</w:t>
      </w:r>
      <w:r w:rsidR="00481298">
        <w:rPr>
          <w:rFonts w:ascii="Verdana" w:eastAsia="Times New Roman" w:hAnsi="Verdana" w:cs="Arial"/>
          <w:color w:val="000000"/>
        </w:rPr>
        <w:t xml:space="preserve"> and </w:t>
      </w:r>
      <w:r w:rsidR="003A3841" w:rsidRPr="00277F61">
        <w:rPr>
          <w:rFonts w:ascii="Verdana" w:eastAsia="Times New Roman" w:hAnsi="Verdana" w:cs="Arial"/>
          <w:color w:val="000000"/>
        </w:rPr>
        <w:t>contested cases</w:t>
      </w:r>
      <w:r w:rsidR="00481298">
        <w:rPr>
          <w:rFonts w:ascii="Verdana" w:eastAsia="Times New Roman" w:hAnsi="Verdana" w:cs="Arial"/>
          <w:color w:val="000000"/>
        </w:rPr>
        <w:t>, as well as, administrative dismissals.</w:t>
      </w:r>
    </w:p>
    <w:p w:rsidR="00B222F4" w:rsidRPr="00277F61" w:rsidRDefault="00B222F4" w:rsidP="00844C07">
      <w:pPr>
        <w:jc w:val="both"/>
        <w:rPr>
          <w:rFonts w:ascii="Verdana" w:eastAsia="Times New Roman" w:hAnsi="Verdana" w:cs="Arial"/>
          <w:color w:val="000000"/>
        </w:rPr>
      </w:pPr>
    </w:p>
    <w:p w:rsidR="00F70986" w:rsidRPr="00FB24DB" w:rsidRDefault="00F46A48" w:rsidP="00F70986">
      <w:pPr>
        <w:pStyle w:val="NoSpacing"/>
        <w:rPr>
          <w:rFonts w:ascii="Verdana" w:hAnsi="Verdana" w:cs="Arial"/>
          <w:b/>
          <w:u w:val="single"/>
        </w:rPr>
      </w:pPr>
      <w:r w:rsidRPr="00277F61">
        <w:rPr>
          <w:rFonts w:ascii="Verdana" w:hAnsi="Verdana" w:cs="Arial"/>
          <w:b/>
          <w:u w:val="single"/>
        </w:rPr>
        <w:t>Office Administration</w:t>
      </w:r>
    </w:p>
    <w:p w:rsidR="00F901CB" w:rsidRDefault="003A5500" w:rsidP="000D016B">
      <w:pPr>
        <w:pStyle w:val="NoSpacing"/>
        <w:jc w:val="both"/>
        <w:rPr>
          <w:rFonts w:ascii="Verdana" w:hAnsi="Verdana" w:cs="Arial"/>
        </w:rPr>
      </w:pPr>
      <w:r>
        <w:rPr>
          <w:rFonts w:ascii="Arial" w:hAnsi="Arial" w:cs="Arial"/>
          <w:sz w:val="24"/>
          <w:szCs w:val="24"/>
        </w:rPr>
        <w:t xml:space="preserve">          </w:t>
      </w:r>
      <w:r w:rsidR="00C17D70">
        <w:rPr>
          <w:rFonts w:ascii="Arial" w:hAnsi="Arial" w:cs="Arial"/>
          <w:sz w:val="24"/>
          <w:szCs w:val="24"/>
        </w:rPr>
        <w:tab/>
      </w:r>
      <w:r w:rsidR="00F46A48" w:rsidRPr="00277F61">
        <w:rPr>
          <w:rFonts w:ascii="Verdana" w:hAnsi="Verdana" w:cs="Arial"/>
        </w:rPr>
        <w:t xml:space="preserve">The final piece to the expense-side of </w:t>
      </w:r>
      <w:r w:rsidR="00B63A89">
        <w:rPr>
          <w:rFonts w:ascii="Verdana" w:hAnsi="Verdana" w:cs="Arial"/>
        </w:rPr>
        <w:t xml:space="preserve">the </w:t>
      </w:r>
      <w:r w:rsidR="00F46A48" w:rsidRPr="00277F61">
        <w:rPr>
          <w:rFonts w:ascii="Verdana" w:hAnsi="Verdana" w:cs="Arial"/>
        </w:rPr>
        <w:t xml:space="preserve">ISIF </w:t>
      </w:r>
      <w:r w:rsidR="00CB78D1" w:rsidRPr="00277F61">
        <w:rPr>
          <w:rFonts w:ascii="Verdana" w:hAnsi="Verdana" w:cs="Arial"/>
        </w:rPr>
        <w:t xml:space="preserve">operation </w:t>
      </w:r>
      <w:r w:rsidR="00F46A48" w:rsidRPr="00277F61">
        <w:rPr>
          <w:rFonts w:ascii="Verdana" w:hAnsi="Verdana" w:cs="Arial"/>
        </w:rPr>
        <w:t xml:space="preserve">is the cost of </w:t>
      </w:r>
      <w:r w:rsidR="00CB78D1" w:rsidRPr="00277F61">
        <w:rPr>
          <w:rFonts w:ascii="Verdana" w:hAnsi="Verdana" w:cs="Arial"/>
        </w:rPr>
        <w:t>maintaining</w:t>
      </w:r>
      <w:r w:rsidR="00F46A48" w:rsidRPr="00277F61">
        <w:rPr>
          <w:rFonts w:ascii="Verdana" w:hAnsi="Verdana" w:cs="Arial"/>
        </w:rPr>
        <w:t xml:space="preserve"> an administrative office.  This is rather a small </w:t>
      </w:r>
      <w:r w:rsidR="00AE6450" w:rsidRPr="00277F61">
        <w:rPr>
          <w:rFonts w:ascii="Verdana" w:hAnsi="Verdana" w:cs="Arial"/>
        </w:rPr>
        <w:t>percentage</w:t>
      </w:r>
      <w:r w:rsidR="00F46A48" w:rsidRPr="00277F61">
        <w:rPr>
          <w:rFonts w:ascii="Verdana" w:hAnsi="Verdana" w:cs="Arial"/>
        </w:rPr>
        <w:t xml:space="preserve"> compared to the other major expenses in managing the ISIF.  </w:t>
      </w:r>
      <w:r w:rsidR="000F71B2" w:rsidRPr="00277F61">
        <w:rPr>
          <w:rFonts w:ascii="Verdana" w:hAnsi="Verdana" w:cs="Arial"/>
        </w:rPr>
        <w:t>C</w:t>
      </w:r>
      <w:r w:rsidR="00EC3EB2" w:rsidRPr="00277F61">
        <w:rPr>
          <w:rFonts w:ascii="Verdana" w:hAnsi="Verdana" w:cs="Arial"/>
        </w:rPr>
        <w:t xml:space="preserve">urrent </w:t>
      </w:r>
      <w:r w:rsidR="00B63A89">
        <w:rPr>
          <w:rFonts w:ascii="Verdana" w:hAnsi="Verdana" w:cs="Arial"/>
        </w:rPr>
        <w:t xml:space="preserve">administrative </w:t>
      </w:r>
      <w:r w:rsidR="00F46A48" w:rsidRPr="00277F61">
        <w:rPr>
          <w:rFonts w:ascii="Verdana" w:hAnsi="Verdana" w:cs="Arial"/>
        </w:rPr>
        <w:t xml:space="preserve">expenses include </w:t>
      </w:r>
      <w:r w:rsidR="00842410" w:rsidRPr="00277F61">
        <w:rPr>
          <w:rFonts w:ascii="Verdana" w:hAnsi="Verdana" w:cs="Arial"/>
        </w:rPr>
        <w:t>2 full-</w:t>
      </w:r>
      <w:r w:rsidR="00F46A48" w:rsidRPr="00277F61">
        <w:rPr>
          <w:rFonts w:ascii="Verdana" w:hAnsi="Verdana" w:cs="Arial"/>
        </w:rPr>
        <w:t xml:space="preserve">time employees and general office expenses </w:t>
      </w:r>
      <w:r w:rsidR="00B63A89">
        <w:rPr>
          <w:rFonts w:ascii="Verdana" w:hAnsi="Verdana" w:cs="Arial"/>
        </w:rPr>
        <w:t>of</w:t>
      </w:r>
      <w:r w:rsidR="00F46A48" w:rsidRPr="00277F61">
        <w:rPr>
          <w:rFonts w:ascii="Verdana" w:hAnsi="Verdana" w:cs="Arial"/>
        </w:rPr>
        <w:t xml:space="preserve"> rent, </w:t>
      </w:r>
      <w:r w:rsidR="00F2054F" w:rsidRPr="00277F61">
        <w:rPr>
          <w:rFonts w:ascii="Verdana" w:hAnsi="Verdana" w:cs="Arial"/>
        </w:rPr>
        <w:t>copy/</w:t>
      </w:r>
      <w:r w:rsidR="009B7923" w:rsidRPr="00277F61">
        <w:rPr>
          <w:rFonts w:ascii="Verdana" w:hAnsi="Verdana" w:cs="Arial"/>
        </w:rPr>
        <w:t>fax</w:t>
      </w:r>
      <w:r w:rsidR="008E72E0" w:rsidRPr="00277F61">
        <w:rPr>
          <w:rFonts w:ascii="Verdana" w:hAnsi="Verdana" w:cs="Arial"/>
        </w:rPr>
        <w:t>/email</w:t>
      </w:r>
      <w:r w:rsidR="00FC4DD6">
        <w:rPr>
          <w:rFonts w:ascii="Verdana" w:hAnsi="Verdana" w:cs="Arial"/>
        </w:rPr>
        <w:t xml:space="preserve"> equipment</w:t>
      </w:r>
      <w:r w:rsidR="008E7DC8" w:rsidRPr="00277F61">
        <w:rPr>
          <w:rFonts w:ascii="Verdana" w:hAnsi="Verdana" w:cs="Arial"/>
        </w:rPr>
        <w:t>,</w:t>
      </w:r>
      <w:r w:rsidR="00AE6450" w:rsidRPr="00277F61">
        <w:rPr>
          <w:rFonts w:ascii="Verdana" w:hAnsi="Verdana" w:cs="Arial"/>
        </w:rPr>
        <w:t xml:space="preserve"> supplies, travel</w:t>
      </w:r>
      <w:r w:rsidR="00875AE3" w:rsidRPr="00277F61">
        <w:rPr>
          <w:rFonts w:ascii="Verdana" w:hAnsi="Verdana" w:cs="Arial"/>
        </w:rPr>
        <w:t xml:space="preserve">, </w:t>
      </w:r>
      <w:r w:rsidR="0073402F" w:rsidRPr="00277F61">
        <w:rPr>
          <w:rFonts w:ascii="Verdana" w:hAnsi="Verdana" w:cs="Arial"/>
        </w:rPr>
        <w:t xml:space="preserve">file storage, </w:t>
      </w:r>
      <w:r w:rsidR="00875AE3" w:rsidRPr="00277F61">
        <w:rPr>
          <w:rFonts w:ascii="Verdana" w:hAnsi="Verdana" w:cs="Arial"/>
        </w:rPr>
        <w:t>as well as,</w:t>
      </w:r>
      <w:r w:rsidR="00AE6450" w:rsidRPr="00277F61">
        <w:rPr>
          <w:rFonts w:ascii="Verdana" w:hAnsi="Verdana" w:cs="Arial"/>
        </w:rPr>
        <w:t xml:space="preserve"> </w:t>
      </w:r>
      <w:r w:rsidR="00875AE3" w:rsidRPr="00277F61">
        <w:rPr>
          <w:rFonts w:ascii="Verdana" w:hAnsi="Verdana" w:cs="Arial"/>
        </w:rPr>
        <w:t>general</w:t>
      </w:r>
      <w:r w:rsidR="008E7DC8" w:rsidRPr="00277F61">
        <w:rPr>
          <w:rFonts w:ascii="Verdana" w:hAnsi="Verdana" w:cs="Arial"/>
        </w:rPr>
        <w:t xml:space="preserve"> support</w:t>
      </w:r>
      <w:r w:rsidR="00F46A48" w:rsidRPr="00277F61">
        <w:rPr>
          <w:rFonts w:ascii="Verdana" w:hAnsi="Verdana" w:cs="Arial"/>
        </w:rPr>
        <w:t xml:space="preserve"> </w:t>
      </w:r>
      <w:r w:rsidR="00E97695" w:rsidRPr="00277F61">
        <w:rPr>
          <w:rFonts w:ascii="Verdana" w:hAnsi="Verdana" w:cs="Arial"/>
        </w:rPr>
        <w:t>services</w:t>
      </w:r>
      <w:r w:rsidR="009B7923" w:rsidRPr="00277F61">
        <w:rPr>
          <w:rFonts w:ascii="Verdana" w:hAnsi="Verdana" w:cs="Arial"/>
        </w:rPr>
        <w:t xml:space="preserve"> from the main office</w:t>
      </w:r>
      <w:r w:rsidR="008A78B8" w:rsidRPr="00277F61">
        <w:rPr>
          <w:rFonts w:ascii="Verdana" w:hAnsi="Verdana" w:cs="Arial"/>
        </w:rPr>
        <w:t xml:space="preserve"> of the Department of Administration</w:t>
      </w:r>
      <w:r w:rsidR="00AE6450" w:rsidRPr="00277F61">
        <w:rPr>
          <w:rFonts w:ascii="Verdana" w:hAnsi="Verdana" w:cs="Arial"/>
        </w:rPr>
        <w:t>.</w:t>
      </w:r>
    </w:p>
    <w:p w:rsidR="00B63A89" w:rsidRDefault="004842E1" w:rsidP="000D016B">
      <w:pPr>
        <w:pStyle w:val="NoSpacing"/>
        <w:jc w:val="both"/>
        <w:rPr>
          <w:rFonts w:ascii="Verdana" w:hAnsi="Verdana" w:cs="Arial"/>
        </w:rPr>
      </w:pPr>
      <w:r>
        <w:rPr>
          <w:rFonts w:ascii="Verdana" w:hAnsi="Verdana" w:cs="Arial"/>
        </w:rPr>
        <w:t xml:space="preserve">  </w:t>
      </w:r>
    </w:p>
    <w:p w:rsidR="00B63A89" w:rsidRDefault="00B63A89" w:rsidP="004842E1">
      <w:pPr>
        <w:pStyle w:val="NoSpacing"/>
        <w:jc w:val="both"/>
        <w:rPr>
          <w:rFonts w:ascii="Verdana" w:hAnsi="Verdana" w:cs="Arial"/>
        </w:rPr>
      </w:pPr>
    </w:p>
    <w:p w:rsidR="003A17FC" w:rsidRPr="004842E1" w:rsidRDefault="003A17FC" w:rsidP="004842E1">
      <w:pPr>
        <w:pStyle w:val="NoSpacing"/>
        <w:jc w:val="both"/>
        <w:rPr>
          <w:rFonts w:ascii="Verdana" w:hAnsi="Verdana" w:cs="Arial"/>
        </w:rPr>
      </w:pPr>
    </w:p>
    <w:p w:rsidR="00456AB0" w:rsidRPr="00EA2461" w:rsidRDefault="00456AB0" w:rsidP="00EA2461">
      <w:pPr>
        <w:pStyle w:val="Heading2"/>
        <w:jc w:val="center"/>
        <w:rPr>
          <w:rFonts w:ascii="Verdana" w:hAnsi="Verdana"/>
          <w:b/>
          <w:sz w:val="24"/>
          <w:szCs w:val="24"/>
        </w:rPr>
      </w:pPr>
      <w:r w:rsidRPr="00EA2461">
        <w:rPr>
          <w:rFonts w:ascii="Verdana" w:hAnsi="Verdana"/>
          <w:b/>
          <w:sz w:val="24"/>
          <w:szCs w:val="24"/>
        </w:rPr>
        <w:t>FINANCIAL</w:t>
      </w:r>
    </w:p>
    <w:tbl>
      <w:tblPr>
        <w:tblW w:w="960" w:type="dxa"/>
        <w:tblInd w:w="108" w:type="dxa"/>
        <w:tblLook w:val="04A0" w:firstRow="1" w:lastRow="0" w:firstColumn="1" w:lastColumn="0" w:noHBand="0" w:noVBand="1"/>
      </w:tblPr>
      <w:tblGrid>
        <w:gridCol w:w="9746"/>
      </w:tblGrid>
      <w:tr w:rsidR="00BD1FE5" w:rsidRPr="00516584" w:rsidTr="00BD1FE5">
        <w:trPr>
          <w:trHeight w:val="300"/>
        </w:trPr>
        <w:tc>
          <w:tcPr>
            <w:tcW w:w="960" w:type="dxa"/>
            <w:tcBorders>
              <w:top w:val="nil"/>
              <w:left w:val="nil"/>
              <w:bottom w:val="nil"/>
              <w:right w:val="nil"/>
            </w:tcBorders>
            <w:shd w:val="clear" w:color="auto" w:fill="auto"/>
            <w:noWrap/>
            <w:vAlign w:val="bottom"/>
          </w:tcPr>
          <w:p w:rsidR="00F901CB" w:rsidRDefault="00F901CB">
            <w:r>
              <w:t xml:space="preserve">               </w:t>
            </w:r>
          </w:p>
          <w:p w:rsidR="00F901CB" w:rsidRDefault="00F901CB">
            <w:pPr>
              <w:rPr>
                <w:rFonts w:ascii="Verdana" w:hAnsi="Verdana"/>
              </w:rPr>
            </w:pPr>
            <w:r>
              <w:t xml:space="preserve">               </w:t>
            </w:r>
            <w:r w:rsidRPr="00F901CB">
              <w:rPr>
                <w:rFonts w:ascii="Verdana" w:hAnsi="Verdana"/>
              </w:rPr>
              <w:t>A</w:t>
            </w:r>
            <w:r>
              <w:rPr>
                <w:rFonts w:ascii="Verdana" w:hAnsi="Verdana"/>
              </w:rPr>
              <w:t xml:space="preserve"> review of the financial position of ISIF for FY2019 is set forth below.</w:t>
            </w:r>
          </w:p>
          <w:p w:rsidR="00F901CB" w:rsidRPr="00F901CB" w:rsidRDefault="00F901CB" w:rsidP="00F901CB">
            <w:pPr>
              <w:jc w:val="center"/>
              <w:rPr>
                <w:rFonts w:ascii="Verdana" w:hAnsi="Verdana"/>
                <w:b/>
              </w:rPr>
            </w:pPr>
            <w:r>
              <w:rPr>
                <w:rFonts w:ascii="Verdana" w:hAnsi="Verdana"/>
                <w:b/>
              </w:rPr>
              <w:t>Summary Financial Report FY 2019</w:t>
            </w:r>
          </w:p>
          <w:tbl>
            <w:tblPr>
              <w:tblW w:w="9530" w:type="dxa"/>
              <w:tblLook w:val="04A0" w:firstRow="1" w:lastRow="0" w:firstColumn="1" w:lastColumn="0" w:noHBand="0" w:noVBand="1"/>
            </w:tblPr>
            <w:tblGrid>
              <w:gridCol w:w="1266"/>
              <w:gridCol w:w="1266"/>
              <w:gridCol w:w="222"/>
              <w:gridCol w:w="222"/>
              <w:gridCol w:w="3401"/>
              <w:gridCol w:w="447"/>
              <w:gridCol w:w="1411"/>
              <w:gridCol w:w="1295"/>
            </w:tblGrid>
            <w:tr w:rsidR="00A932AF" w:rsidRPr="00A932AF" w:rsidTr="00A932AF">
              <w:trPr>
                <w:trHeight w:val="300"/>
              </w:trPr>
              <w:tc>
                <w:tcPr>
                  <w:tcW w:w="1266"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66"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A932AF">
              <w:trPr>
                <w:trHeight w:val="300"/>
              </w:trPr>
              <w:tc>
                <w:tcPr>
                  <w:tcW w:w="2754" w:type="dxa"/>
                  <w:gridSpan w:val="3"/>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b/>
                      <w:bCs/>
                      <w:color w:val="000000"/>
                    </w:rPr>
                  </w:pPr>
                  <w:r w:rsidRPr="00A932AF">
                    <w:rPr>
                      <w:rFonts w:ascii="Verdana" w:eastAsia="Times New Roman" w:hAnsi="Verdana" w:cs="Calibri"/>
                      <w:b/>
                      <w:bCs/>
                      <w:color w:val="000000"/>
                    </w:rPr>
                    <w:t>Beginning Cash Balance</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b/>
                      <w:bCs/>
                      <w:color w:val="000000"/>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b/>
                      <w:bCs/>
                      <w:color w:val="000000"/>
                    </w:rPr>
                  </w:pPr>
                  <w:r w:rsidRPr="00A932AF">
                    <w:rPr>
                      <w:rFonts w:ascii="Verdana" w:eastAsia="Times New Roman" w:hAnsi="Verdana" w:cs="Calibri"/>
                      <w:b/>
                      <w:bCs/>
                      <w:color w:val="000000"/>
                    </w:rPr>
                    <w:t>6,125,124</w:t>
                  </w: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b/>
                      <w:bCs/>
                      <w:color w:val="000000"/>
                    </w:rPr>
                  </w:pPr>
                </w:p>
              </w:tc>
            </w:tr>
            <w:tr w:rsidR="00A932AF" w:rsidRPr="00A932AF" w:rsidTr="00A932AF">
              <w:trPr>
                <w:trHeight w:val="300"/>
              </w:trPr>
              <w:tc>
                <w:tcPr>
                  <w:tcW w:w="1266"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b/>
                      <w:bCs/>
                      <w:color w:val="000000"/>
                    </w:rPr>
                  </w:pPr>
                  <w:r w:rsidRPr="00A932AF">
                    <w:rPr>
                      <w:rFonts w:ascii="Verdana" w:eastAsia="Times New Roman" w:hAnsi="Verdana" w:cs="Calibri"/>
                      <w:b/>
                      <w:bCs/>
                      <w:color w:val="000000"/>
                    </w:rPr>
                    <w:t>Income</w:t>
                  </w:r>
                </w:p>
              </w:tc>
              <w:tc>
                <w:tcPr>
                  <w:tcW w:w="1266"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b/>
                      <w:bCs/>
                      <w:color w:val="000000"/>
                    </w:rPr>
                  </w:pP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A932AF">
              <w:trPr>
                <w:trHeight w:val="300"/>
              </w:trPr>
              <w:tc>
                <w:tcPr>
                  <w:tcW w:w="2532" w:type="dxa"/>
                  <w:gridSpan w:val="2"/>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r w:rsidRPr="00A932AF">
                    <w:rPr>
                      <w:rFonts w:ascii="Verdana" w:eastAsia="Times New Roman" w:hAnsi="Verdana" w:cs="Calibri"/>
                      <w:color w:val="000000"/>
                    </w:rPr>
                    <w:t xml:space="preserve">        Assessment</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r w:rsidRPr="00A932AF">
                    <w:rPr>
                      <w:rFonts w:ascii="Verdana" w:eastAsia="Times New Roman" w:hAnsi="Verdana" w:cs="Calibri"/>
                      <w:color w:val="000000"/>
                    </w:rPr>
                    <w:t>3,480,665</w:t>
                  </w: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A932AF">
              <w:trPr>
                <w:trHeight w:val="300"/>
              </w:trPr>
              <w:tc>
                <w:tcPr>
                  <w:tcW w:w="2532" w:type="dxa"/>
                  <w:gridSpan w:val="2"/>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r w:rsidRPr="00A932AF">
                    <w:rPr>
                      <w:rFonts w:ascii="Verdana" w:eastAsia="Times New Roman" w:hAnsi="Verdana" w:cs="Calibri"/>
                      <w:color w:val="000000"/>
                    </w:rPr>
                    <w:t xml:space="preserve">        Levy</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r w:rsidRPr="00A932AF">
                    <w:rPr>
                      <w:rFonts w:ascii="Verdana" w:eastAsia="Times New Roman" w:hAnsi="Verdana" w:cs="Calibri"/>
                      <w:color w:val="000000"/>
                    </w:rPr>
                    <w:t>50,000</w:t>
                  </w: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A932AF">
              <w:trPr>
                <w:trHeight w:val="300"/>
              </w:trPr>
              <w:tc>
                <w:tcPr>
                  <w:tcW w:w="2532" w:type="dxa"/>
                  <w:gridSpan w:val="2"/>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r w:rsidRPr="00A932AF">
                    <w:rPr>
                      <w:rFonts w:ascii="Verdana" w:eastAsia="Times New Roman" w:hAnsi="Verdana" w:cs="Calibri"/>
                      <w:color w:val="000000"/>
                    </w:rPr>
                    <w:t xml:space="preserve">        Interest</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r w:rsidRPr="00A932AF">
                    <w:rPr>
                      <w:rFonts w:ascii="Verdana" w:eastAsia="Times New Roman" w:hAnsi="Verdana" w:cs="Calibri"/>
                      <w:color w:val="000000"/>
                    </w:rPr>
                    <w:t>137,581</w:t>
                  </w: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F901CB">
              <w:trPr>
                <w:trHeight w:val="300"/>
              </w:trPr>
              <w:tc>
                <w:tcPr>
                  <w:tcW w:w="2754" w:type="dxa"/>
                  <w:gridSpan w:val="3"/>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r w:rsidRPr="00A932AF">
                    <w:rPr>
                      <w:rFonts w:ascii="Verdana" w:eastAsia="Times New Roman" w:hAnsi="Verdana" w:cs="Calibri"/>
                      <w:color w:val="000000"/>
                    </w:rPr>
                    <w:t xml:space="preserve">        </w:t>
                  </w:r>
                  <w:r w:rsidR="0008629B">
                    <w:rPr>
                      <w:rFonts w:ascii="Verdana" w:eastAsia="Times New Roman" w:hAnsi="Verdana" w:cs="Calibri"/>
                      <w:color w:val="000000"/>
                    </w:rPr>
                    <w:t xml:space="preserve">Late Filing </w:t>
                  </w:r>
                  <w:r w:rsidRPr="00A932AF">
                    <w:rPr>
                      <w:rFonts w:ascii="Verdana" w:eastAsia="Times New Roman" w:hAnsi="Verdana" w:cs="Calibri"/>
                      <w:color w:val="000000"/>
                    </w:rPr>
                    <w:t>Penalt</w:t>
                  </w:r>
                  <w:r w:rsidR="0008629B">
                    <w:rPr>
                      <w:rFonts w:ascii="Verdana" w:eastAsia="Times New Roman" w:hAnsi="Verdana" w:cs="Calibri"/>
                      <w:color w:val="000000"/>
                    </w:rPr>
                    <w:t>y</w:t>
                  </w:r>
                  <w:r w:rsidRPr="00A932AF">
                    <w:rPr>
                      <w:rFonts w:ascii="Verdana" w:eastAsia="Times New Roman" w:hAnsi="Verdana" w:cs="Calibri"/>
                      <w:color w:val="000000"/>
                    </w:rPr>
                    <w:t xml:space="preserve"> </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p>
              </w:tc>
              <w:tc>
                <w:tcPr>
                  <w:tcW w:w="3401" w:type="dxa"/>
                  <w:tcBorders>
                    <w:top w:val="nil"/>
                    <w:left w:val="nil"/>
                    <w:bottom w:val="nil"/>
                    <w:right w:val="nil"/>
                  </w:tcBorders>
                  <w:shd w:val="clear" w:color="auto" w:fill="auto"/>
                  <w:noWrap/>
                  <w:vAlign w:val="bottom"/>
                </w:tcPr>
                <w:p w:rsidR="00A932AF" w:rsidRPr="00A932AF" w:rsidRDefault="00F901CB" w:rsidP="00A932AF">
                  <w:pPr>
                    <w:spacing w:before="0" w:after="0" w:line="240" w:lineRule="auto"/>
                    <w:jc w:val="right"/>
                    <w:rPr>
                      <w:rFonts w:ascii="Verdana" w:eastAsia="Times New Roman" w:hAnsi="Verdana" w:cs="Calibri"/>
                      <w:color w:val="000000"/>
                    </w:rPr>
                  </w:pPr>
                  <w:r>
                    <w:rPr>
                      <w:rFonts w:ascii="Verdana" w:eastAsia="Times New Roman" w:hAnsi="Verdana" w:cs="Calibri"/>
                      <w:color w:val="000000"/>
                    </w:rPr>
                    <w:t>0</w:t>
                  </w: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A932AF">
              <w:trPr>
                <w:trHeight w:val="300"/>
              </w:trPr>
              <w:tc>
                <w:tcPr>
                  <w:tcW w:w="2754" w:type="dxa"/>
                  <w:gridSpan w:val="3"/>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r w:rsidRPr="00A932AF">
                    <w:rPr>
                      <w:rFonts w:ascii="Verdana" w:eastAsia="Times New Roman" w:hAnsi="Verdana" w:cs="Calibri"/>
                      <w:color w:val="000000"/>
                    </w:rPr>
                    <w:t xml:space="preserve">        Misc. Revenue</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r w:rsidRPr="00A932AF">
                    <w:rPr>
                      <w:rFonts w:ascii="Verdana" w:eastAsia="Times New Roman" w:hAnsi="Verdana" w:cs="Calibri"/>
                      <w:color w:val="000000"/>
                    </w:rPr>
                    <w:t>27,800</w:t>
                  </w: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F901CB">
              <w:trPr>
                <w:trHeight w:val="300"/>
              </w:trPr>
              <w:tc>
                <w:tcPr>
                  <w:tcW w:w="2754" w:type="dxa"/>
                  <w:gridSpan w:val="3"/>
                  <w:tcBorders>
                    <w:top w:val="nil"/>
                    <w:left w:val="nil"/>
                    <w:bottom w:val="nil"/>
                    <w:right w:val="nil"/>
                  </w:tcBorders>
                  <w:shd w:val="clear" w:color="auto" w:fill="auto"/>
                  <w:noWrap/>
                  <w:vAlign w:val="bottom"/>
                </w:tcPr>
                <w:p w:rsidR="00A932AF" w:rsidRPr="00A932AF" w:rsidRDefault="00F901CB" w:rsidP="00A932AF">
                  <w:pPr>
                    <w:spacing w:before="0" w:after="0" w:line="240" w:lineRule="auto"/>
                    <w:rPr>
                      <w:rFonts w:ascii="Verdana" w:eastAsia="Times New Roman" w:hAnsi="Verdana" w:cs="Calibri"/>
                      <w:color w:val="000000"/>
                    </w:rPr>
                  </w:pPr>
                  <w:r>
                    <w:rPr>
                      <w:rFonts w:ascii="Verdana" w:eastAsia="Times New Roman" w:hAnsi="Verdana" w:cs="Calibri"/>
                      <w:color w:val="000000"/>
                    </w:rPr>
                    <w:t xml:space="preserve">        Insurance Annuit</w:t>
                  </w:r>
                  <w:r w:rsidR="0008629B">
                    <w:rPr>
                      <w:rFonts w:ascii="Verdana" w:eastAsia="Times New Roman" w:hAnsi="Verdana" w:cs="Calibri"/>
                      <w:color w:val="000000"/>
                    </w:rPr>
                    <w:t>y</w:t>
                  </w:r>
                </w:p>
              </w:tc>
              <w:tc>
                <w:tcPr>
                  <w:tcW w:w="222" w:type="dxa"/>
                  <w:tcBorders>
                    <w:top w:val="nil"/>
                    <w:left w:val="nil"/>
                    <w:bottom w:val="nil"/>
                    <w:right w:val="nil"/>
                  </w:tcBorders>
                  <w:shd w:val="clear" w:color="auto" w:fill="auto"/>
                  <w:noWrap/>
                  <w:vAlign w:val="bottom"/>
                </w:tcPr>
                <w:p w:rsidR="00A932AF" w:rsidRPr="00A932AF" w:rsidRDefault="00A932AF" w:rsidP="00A932AF">
                  <w:pPr>
                    <w:spacing w:before="0" w:after="0" w:line="240" w:lineRule="auto"/>
                    <w:rPr>
                      <w:rFonts w:ascii="Verdana" w:eastAsia="Times New Roman" w:hAnsi="Verdana" w:cs="Calibri"/>
                      <w:color w:val="000000"/>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r w:rsidRPr="00A932AF">
                    <w:rPr>
                      <w:rFonts w:ascii="Verdana" w:eastAsia="Times New Roman" w:hAnsi="Verdana" w:cs="Calibri"/>
                      <w:color w:val="000000"/>
                    </w:rPr>
                    <w:t>535,521</w:t>
                  </w: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A932AF">
              <w:trPr>
                <w:trHeight w:val="300"/>
              </w:trPr>
              <w:tc>
                <w:tcPr>
                  <w:tcW w:w="2754" w:type="dxa"/>
                  <w:gridSpan w:val="3"/>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r w:rsidRPr="00A932AF">
                    <w:rPr>
                      <w:rFonts w:ascii="Verdana" w:eastAsia="Times New Roman" w:hAnsi="Verdana" w:cs="Calibri"/>
                      <w:color w:val="000000"/>
                    </w:rPr>
                    <w:t xml:space="preserve">        Total Income</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Calibri" w:eastAsia="Times New Roman" w:hAnsi="Calibri" w:cs="Calibri"/>
                      <w:color w:val="000000"/>
                      <w:sz w:val="22"/>
                      <w:szCs w:val="22"/>
                    </w:rPr>
                  </w:pPr>
                  <w:r w:rsidRPr="00A932AF">
                    <w:rPr>
                      <w:rFonts w:ascii="Calibri" w:eastAsia="Times New Roman" w:hAnsi="Calibri" w:cs="Calibri"/>
                      <w:color w:val="000000"/>
                      <w:sz w:val="22"/>
                      <w:szCs w:val="22"/>
                    </w:rPr>
                    <w:t>+</w:t>
                  </w: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r w:rsidRPr="00A932AF">
                    <w:rPr>
                      <w:rFonts w:ascii="Verdana" w:eastAsia="Times New Roman" w:hAnsi="Verdana" w:cs="Calibri"/>
                      <w:color w:val="000000"/>
                    </w:rPr>
                    <w:t>4,231,567</w:t>
                  </w: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r>
            <w:tr w:rsidR="00A932AF" w:rsidRPr="00A932AF" w:rsidTr="00A932AF">
              <w:trPr>
                <w:trHeight w:val="300"/>
              </w:trPr>
              <w:tc>
                <w:tcPr>
                  <w:tcW w:w="2532" w:type="dxa"/>
                  <w:gridSpan w:val="2"/>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b/>
                      <w:bCs/>
                      <w:color w:val="000000"/>
                    </w:rPr>
                  </w:pPr>
                  <w:r w:rsidRPr="00A932AF">
                    <w:rPr>
                      <w:rFonts w:ascii="Verdana" w:eastAsia="Times New Roman" w:hAnsi="Verdana" w:cs="Calibri"/>
                      <w:b/>
                      <w:bCs/>
                      <w:color w:val="000000"/>
                    </w:rPr>
                    <w:t>Expenses</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b/>
                      <w:bCs/>
                      <w:color w:val="000000"/>
                    </w:rPr>
                  </w:pP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A932AF">
              <w:trPr>
                <w:trHeight w:val="300"/>
              </w:trPr>
              <w:tc>
                <w:tcPr>
                  <w:tcW w:w="2754" w:type="dxa"/>
                  <w:gridSpan w:val="3"/>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r w:rsidRPr="00A932AF">
                    <w:rPr>
                      <w:rFonts w:ascii="Verdana" w:eastAsia="Times New Roman" w:hAnsi="Verdana" w:cs="Calibri"/>
                      <w:color w:val="000000"/>
                    </w:rPr>
                    <w:t xml:space="preserve">        Administrative</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r w:rsidRPr="00A932AF">
                    <w:rPr>
                      <w:rFonts w:ascii="Verdana" w:eastAsia="Times New Roman" w:hAnsi="Verdana" w:cs="Calibri"/>
                      <w:color w:val="000000"/>
                    </w:rPr>
                    <w:t>257,825</w:t>
                  </w: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A932AF">
              <w:trPr>
                <w:trHeight w:val="300"/>
              </w:trPr>
              <w:tc>
                <w:tcPr>
                  <w:tcW w:w="2754" w:type="dxa"/>
                  <w:gridSpan w:val="3"/>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r w:rsidRPr="00A932AF">
                    <w:rPr>
                      <w:rFonts w:ascii="Verdana" w:eastAsia="Times New Roman" w:hAnsi="Verdana" w:cs="Calibri"/>
                      <w:color w:val="000000"/>
                    </w:rPr>
                    <w:t xml:space="preserve">        Legal Fees/Costs</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r w:rsidRPr="00A932AF">
                    <w:rPr>
                      <w:rFonts w:ascii="Verdana" w:eastAsia="Times New Roman" w:hAnsi="Verdana" w:cs="Calibri"/>
                      <w:color w:val="000000"/>
                    </w:rPr>
                    <w:t>380,338</w:t>
                  </w: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A932AF">
              <w:trPr>
                <w:trHeight w:val="300"/>
              </w:trPr>
              <w:tc>
                <w:tcPr>
                  <w:tcW w:w="2754" w:type="dxa"/>
                  <w:gridSpan w:val="3"/>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r w:rsidRPr="00A932AF">
                    <w:rPr>
                      <w:rFonts w:ascii="Verdana" w:eastAsia="Times New Roman" w:hAnsi="Verdana" w:cs="Calibri"/>
                      <w:color w:val="000000"/>
                    </w:rPr>
                    <w:t xml:space="preserve">        Lump Sum Costs</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r w:rsidRPr="00A932AF">
                    <w:rPr>
                      <w:rFonts w:ascii="Verdana" w:eastAsia="Times New Roman" w:hAnsi="Verdana" w:cs="Calibri"/>
                      <w:color w:val="000000"/>
                    </w:rPr>
                    <w:t>391,835</w:t>
                  </w: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A932AF">
              <w:trPr>
                <w:trHeight w:val="300"/>
              </w:trPr>
              <w:tc>
                <w:tcPr>
                  <w:tcW w:w="2754" w:type="dxa"/>
                  <w:gridSpan w:val="3"/>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r w:rsidRPr="00A932AF">
                    <w:rPr>
                      <w:rFonts w:ascii="Verdana" w:eastAsia="Times New Roman" w:hAnsi="Verdana" w:cs="Calibri"/>
                      <w:color w:val="000000"/>
                    </w:rPr>
                    <w:t xml:space="preserve">        Monthly Payments</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r w:rsidRPr="00A932AF">
                    <w:rPr>
                      <w:rFonts w:ascii="Verdana" w:eastAsia="Times New Roman" w:hAnsi="Verdana" w:cs="Calibri"/>
                      <w:color w:val="000000"/>
                    </w:rPr>
                    <w:t>3,567,640</w:t>
                  </w: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r w:rsidR="00A932AF" w:rsidRPr="00A932AF" w:rsidTr="00A932AF">
              <w:trPr>
                <w:trHeight w:val="300"/>
              </w:trPr>
              <w:tc>
                <w:tcPr>
                  <w:tcW w:w="2754" w:type="dxa"/>
                  <w:gridSpan w:val="3"/>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r w:rsidRPr="00A932AF">
                    <w:rPr>
                      <w:rFonts w:ascii="Verdana" w:eastAsia="Times New Roman" w:hAnsi="Verdana" w:cs="Calibri"/>
                      <w:color w:val="000000"/>
                    </w:rPr>
                    <w:t xml:space="preserve">        Total Expenses</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color w:val="000000"/>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Calibri" w:eastAsia="Times New Roman" w:hAnsi="Calibri" w:cs="Calibri"/>
                      <w:color w:val="000000"/>
                      <w:sz w:val="22"/>
                      <w:szCs w:val="22"/>
                    </w:rPr>
                  </w:pPr>
                  <w:r w:rsidRPr="00A932AF">
                    <w:rPr>
                      <w:rFonts w:ascii="Calibri" w:eastAsia="Times New Roman" w:hAnsi="Calibri" w:cs="Calibri"/>
                      <w:color w:val="000000"/>
                      <w:sz w:val="22"/>
                      <w:szCs w:val="22"/>
                    </w:rPr>
                    <w:t>-</w:t>
                  </w: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r w:rsidRPr="00A932AF">
                    <w:rPr>
                      <w:rFonts w:ascii="Verdana" w:eastAsia="Times New Roman" w:hAnsi="Verdana" w:cs="Calibri"/>
                      <w:color w:val="000000"/>
                    </w:rPr>
                    <w:t>4,597,639</w:t>
                  </w: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r>
            <w:tr w:rsidR="00A932AF" w:rsidRPr="00A932AF" w:rsidTr="00A932AF">
              <w:trPr>
                <w:trHeight w:val="300"/>
              </w:trPr>
              <w:tc>
                <w:tcPr>
                  <w:tcW w:w="2754" w:type="dxa"/>
                  <w:gridSpan w:val="3"/>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b/>
                      <w:bCs/>
                      <w:color w:val="000000"/>
                    </w:rPr>
                  </w:pPr>
                  <w:r w:rsidRPr="00A932AF">
                    <w:rPr>
                      <w:rFonts w:ascii="Verdana" w:eastAsia="Times New Roman" w:hAnsi="Verdana" w:cs="Calibri"/>
                      <w:b/>
                      <w:bCs/>
                      <w:color w:val="000000"/>
                    </w:rPr>
                    <w:t>Misc. Adjustment</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b/>
                      <w:bCs/>
                      <w:color w:val="000000"/>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r w:rsidRPr="00A932AF">
                    <w:rPr>
                      <w:rFonts w:ascii="Verdana" w:eastAsia="Times New Roman" w:hAnsi="Verdana" w:cs="Calibri"/>
                      <w:color w:val="000000"/>
                    </w:rPr>
                    <w:t>8</w:t>
                  </w: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color w:val="000000"/>
                    </w:rPr>
                  </w:pPr>
                </w:p>
              </w:tc>
            </w:tr>
            <w:tr w:rsidR="00A932AF" w:rsidRPr="00A932AF" w:rsidTr="00A932AF">
              <w:trPr>
                <w:trHeight w:val="300"/>
              </w:trPr>
              <w:tc>
                <w:tcPr>
                  <w:tcW w:w="2754" w:type="dxa"/>
                  <w:gridSpan w:val="3"/>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b/>
                      <w:bCs/>
                      <w:color w:val="000000"/>
                    </w:rPr>
                  </w:pPr>
                  <w:r w:rsidRPr="00A932AF">
                    <w:rPr>
                      <w:rFonts w:ascii="Verdana" w:eastAsia="Times New Roman" w:hAnsi="Verdana" w:cs="Calibri"/>
                      <w:b/>
                      <w:bCs/>
                      <w:color w:val="000000"/>
                    </w:rPr>
                    <w:t>Ending Cash Balance</w:t>
                  </w: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Verdana" w:eastAsia="Times New Roman" w:hAnsi="Verdana" w:cs="Calibri"/>
                      <w:b/>
                      <w:bCs/>
                      <w:color w:val="000000"/>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b/>
                      <w:bCs/>
                      <w:color w:val="000000"/>
                    </w:rPr>
                  </w:pPr>
                  <w:r w:rsidRPr="00A932AF">
                    <w:rPr>
                      <w:rFonts w:ascii="Verdana" w:eastAsia="Times New Roman" w:hAnsi="Verdana" w:cs="Calibri"/>
                      <w:b/>
                      <w:bCs/>
                      <w:color w:val="000000"/>
                    </w:rPr>
                    <w:t>5,759,060</w:t>
                  </w: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jc w:val="right"/>
                    <w:rPr>
                      <w:rFonts w:ascii="Verdana" w:eastAsia="Times New Roman" w:hAnsi="Verdana" w:cs="Calibri"/>
                      <w:b/>
                      <w:bCs/>
                      <w:color w:val="000000"/>
                    </w:rPr>
                  </w:pPr>
                </w:p>
              </w:tc>
            </w:tr>
            <w:tr w:rsidR="00A932AF" w:rsidRPr="00A932AF" w:rsidTr="00A932AF">
              <w:trPr>
                <w:trHeight w:val="300"/>
              </w:trPr>
              <w:tc>
                <w:tcPr>
                  <w:tcW w:w="1266"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66"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222"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340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447"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411"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c>
                <w:tcPr>
                  <w:tcW w:w="1295" w:type="dxa"/>
                  <w:tcBorders>
                    <w:top w:val="nil"/>
                    <w:left w:val="nil"/>
                    <w:bottom w:val="nil"/>
                    <w:right w:val="nil"/>
                  </w:tcBorders>
                  <w:shd w:val="clear" w:color="auto" w:fill="auto"/>
                  <w:noWrap/>
                  <w:vAlign w:val="bottom"/>
                  <w:hideMark/>
                </w:tcPr>
                <w:p w:rsidR="00A932AF" w:rsidRPr="00A932AF" w:rsidRDefault="00A932AF" w:rsidP="00A932AF">
                  <w:pPr>
                    <w:spacing w:before="0" w:after="0" w:line="240" w:lineRule="auto"/>
                    <w:rPr>
                      <w:rFonts w:ascii="Times New Roman" w:eastAsia="Times New Roman" w:hAnsi="Times New Roman" w:cs="Times New Roman"/>
                    </w:rPr>
                  </w:pPr>
                </w:p>
              </w:tc>
            </w:tr>
          </w:tbl>
          <w:p w:rsidR="008B2A33" w:rsidRPr="00516584" w:rsidRDefault="008B2A33" w:rsidP="00516584">
            <w:pPr>
              <w:spacing w:before="0" w:after="0" w:line="240" w:lineRule="auto"/>
              <w:rPr>
                <w:rFonts w:ascii="Times New Roman" w:eastAsia="Times New Roman" w:hAnsi="Times New Roman" w:cs="Times New Roman"/>
              </w:rPr>
            </w:pPr>
          </w:p>
        </w:tc>
      </w:tr>
      <w:tr w:rsidR="00F901CB" w:rsidRPr="00516584" w:rsidTr="00BD1FE5">
        <w:trPr>
          <w:trHeight w:val="300"/>
        </w:trPr>
        <w:tc>
          <w:tcPr>
            <w:tcW w:w="960" w:type="dxa"/>
            <w:tcBorders>
              <w:top w:val="nil"/>
              <w:left w:val="nil"/>
              <w:bottom w:val="nil"/>
              <w:right w:val="nil"/>
            </w:tcBorders>
            <w:shd w:val="clear" w:color="auto" w:fill="auto"/>
            <w:noWrap/>
            <w:vAlign w:val="bottom"/>
          </w:tcPr>
          <w:p w:rsidR="00F901CB" w:rsidRDefault="00F901CB"/>
        </w:tc>
      </w:tr>
    </w:tbl>
    <w:p w:rsidR="008A3E87" w:rsidRPr="00E44F97" w:rsidRDefault="00066D3C" w:rsidP="008A3E87">
      <w:pPr>
        <w:pStyle w:val="Heading2"/>
        <w:jc w:val="center"/>
        <w:rPr>
          <w:rFonts w:ascii="Verdana" w:eastAsia="Times New Roman" w:hAnsi="Verdana"/>
          <w:b/>
          <w:sz w:val="24"/>
          <w:szCs w:val="24"/>
        </w:rPr>
      </w:pPr>
      <w:r w:rsidRPr="00E44F97">
        <w:rPr>
          <w:rFonts w:ascii="Verdana" w:eastAsia="Times New Roman" w:hAnsi="Verdana"/>
          <w:b/>
          <w:sz w:val="24"/>
          <w:szCs w:val="24"/>
        </w:rPr>
        <w:t>ASSESSMENT</w:t>
      </w:r>
    </w:p>
    <w:p w:rsidR="00842410" w:rsidRDefault="00842410" w:rsidP="00E77251">
      <w:pPr>
        <w:pStyle w:val="NoSpacing"/>
        <w:rPr>
          <w:rFonts w:eastAsia="Times New Roman"/>
          <w:color w:val="000000"/>
          <w:sz w:val="24"/>
          <w:szCs w:val="24"/>
        </w:rPr>
      </w:pPr>
    </w:p>
    <w:p w:rsidR="004E68C4" w:rsidRDefault="004E68C4" w:rsidP="00E77251">
      <w:pPr>
        <w:pStyle w:val="NoSpacing"/>
        <w:rPr>
          <w:rFonts w:eastAsia="Times New Roman"/>
          <w:color w:val="000000"/>
          <w:sz w:val="24"/>
          <w:szCs w:val="24"/>
        </w:rPr>
      </w:pPr>
    </w:p>
    <w:p w:rsidR="00BB364A" w:rsidRDefault="00C17D70" w:rsidP="00862B05">
      <w:pPr>
        <w:jc w:val="both"/>
        <w:rPr>
          <w:rFonts w:ascii="Verdana" w:eastAsia="Times New Roman" w:hAnsi="Verdana" w:cs="Arial"/>
          <w:color w:val="000000"/>
        </w:rPr>
      </w:pPr>
      <w:r>
        <w:rPr>
          <w:rFonts w:ascii="Arial" w:eastAsia="Times New Roman" w:hAnsi="Arial" w:cs="Arial"/>
          <w:color w:val="000000"/>
          <w:sz w:val="24"/>
          <w:szCs w:val="24"/>
        </w:rPr>
        <w:tab/>
      </w:r>
      <w:r w:rsidR="009D0B04" w:rsidRPr="00456AB0">
        <w:rPr>
          <w:rFonts w:ascii="Verdana" w:eastAsia="Times New Roman" w:hAnsi="Verdana" w:cs="Arial"/>
          <w:color w:val="000000"/>
        </w:rPr>
        <w:t xml:space="preserve">The </w:t>
      </w:r>
      <w:r w:rsidR="0031046F">
        <w:rPr>
          <w:rFonts w:ascii="Verdana" w:eastAsia="Times New Roman" w:hAnsi="Verdana" w:cs="Arial"/>
          <w:color w:val="000000"/>
        </w:rPr>
        <w:t>revenue-side</w:t>
      </w:r>
      <w:r w:rsidR="008B2D50">
        <w:rPr>
          <w:rFonts w:ascii="Verdana" w:eastAsia="Times New Roman" w:hAnsi="Verdana" w:cs="Arial"/>
          <w:color w:val="000000"/>
        </w:rPr>
        <w:t xml:space="preserve"> of </w:t>
      </w:r>
      <w:r w:rsidR="009D0B04" w:rsidRPr="00456AB0">
        <w:rPr>
          <w:rFonts w:ascii="Verdana" w:eastAsia="Times New Roman" w:hAnsi="Verdana" w:cs="Arial"/>
          <w:color w:val="000000"/>
        </w:rPr>
        <w:t xml:space="preserve">ISIF is funded </w:t>
      </w:r>
      <w:r w:rsidR="008B2D50">
        <w:rPr>
          <w:rFonts w:ascii="Verdana" w:eastAsia="Times New Roman" w:hAnsi="Verdana" w:cs="Arial"/>
          <w:color w:val="000000"/>
        </w:rPr>
        <w:t>by</w:t>
      </w:r>
      <w:r w:rsidR="009D0B04" w:rsidRPr="00456AB0">
        <w:rPr>
          <w:rFonts w:ascii="Verdana" w:eastAsia="Times New Roman" w:hAnsi="Verdana" w:cs="Arial"/>
          <w:color w:val="000000"/>
        </w:rPr>
        <w:t xml:space="preserve"> an annual assessment</w:t>
      </w:r>
      <w:r w:rsidR="008B2D50">
        <w:rPr>
          <w:rFonts w:ascii="Verdana" w:eastAsia="Times New Roman" w:hAnsi="Verdana" w:cs="Arial"/>
          <w:color w:val="000000"/>
        </w:rPr>
        <w:t xml:space="preserve">, </w:t>
      </w:r>
      <w:r w:rsidR="00752627">
        <w:rPr>
          <w:rFonts w:ascii="Verdana" w:eastAsia="Times New Roman" w:hAnsi="Verdana" w:cs="Arial"/>
          <w:color w:val="000000"/>
        </w:rPr>
        <w:t>late filing</w:t>
      </w:r>
      <w:r w:rsidR="00BB364A">
        <w:rPr>
          <w:rFonts w:ascii="Verdana" w:eastAsia="Times New Roman" w:hAnsi="Verdana" w:cs="Arial"/>
          <w:color w:val="000000"/>
        </w:rPr>
        <w:t xml:space="preserve"> penalties, certain</w:t>
      </w:r>
      <w:r w:rsidR="008B2D50">
        <w:rPr>
          <w:rFonts w:ascii="Verdana" w:eastAsia="Times New Roman" w:hAnsi="Verdana" w:cs="Arial"/>
          <w:color w:val="000000"/>
        </w:rPr>
        <w:t xml:space="preserve"> levies, accrued interest and insurance annuities.  The assessment portion </w:t>
      </w:r>
      <w:r w:rsidR="009D0B04" w:rsidRPr="00456AB0">
        <w:rPr>
          <w:rFonts w:ascii="Verdana" w:eastAsia="Times New Roman" w:hAnsi="Verdana" w:cs="Arial"/>
          <w:color w:val="000000"/>
        </w:rPr>
        <w:t>is calculated by a rather simple method of taking two times (2x) the to</w:t>
      </w:r>
      <w:r w:rsidR="00AC75BF" w:rsidRPr="00456AB0">
        <w:rPr>
          <w:rFonts w:ascii="Verdana" w:eastAsia="Times New Roman" w:hAnsi="Verdana" w:cs="Arial"/>
          <w:color w:val="000000"/>
        </w:rPr>
        <w:t xml:space="preserve">tal expenses of </w:t>
      </w:r>
      <w:r w:rsidR="00196AFB" w:rsidRPr="00456AB0">
        <w:rPr>
          <w:rFonts w:ascii="Verdana" w:eastAsia="Times New Roman" w:hAnsi="Verdana" w:cs="Arial"/>
          <w:color w:val="000000"/>
        </w:rPr>
        <w:t xml:space="preserve">ISIF for </w:t>
      </w:r>
      <w:r w:rsidR="00AC75BF" w:rsidRPr="00456AB0">
        <w:rPr>
          <w:rFonts w:ascii="Verdana" w:eastAsia="Times New Roman" w:hAnsi="Verdana" w:cs="Arial"/>
          <w:color w:val="000000"/>
        </w:rPr>
        <w:t>the most recent</w:t>
      </w:r>
      <w:r w:rsidR="009D0B04" w:rsidRPr="00456AB0">
        <w:rPr>
          <w:rFonts w:ascii="Verdana" w:eastAsia="Times New Roman" w:hAnsi="Verdana" w:cs="Arial"/>
          <w:color w:val="000000"/>
        </w:rPr>
        <w:t xml:space="preserve"> fiscal year minus (-) ending cash from that same fiscal year.  This calculation is then </w:t>
      </w:r>
      <w:r w:rsidR="00AC75BF" w:rsidRPr="00456AB0">
        <w:rPr>
          <w:rFonts w:ascii="Verdana" w:eastAsia="Times New Roman" w:hAnsi="Verdana" w:cs="Arial"/>
          <w:color w:val="000000"/>
        </w:rPr>
        <w:t xml:space="preserve">pro-rated </w:t>
      </w:r>
      <w:r w:rsidR="00196AFB" w:rsidRPr="00456AB0">
        <w:rPr>
          <w:rFonts w:ascii="Verdana" w:eastAsia="Times New Roman" w:hAnsi="Verdana" w:cs="Arial"/>
          <w:color w:val="000000"/>
        </w:rPr>
        <w:t xml:space="preserve">by the Industrial Commission </w:t>
      </w:r>
      <w:r w:rsidR="00926CA0" w:rsidRPr="00456AB0">
        <w:rPr>
          <w:rFonts w:ascii="Verdana" w:eastAsia="Times New Roman" w:hAnsi="Verdana" w:cs="Arial"/>
          <w:color w:val="000000"/>
        </w:rPr>
        <w:t xml:space="preserve">among all </w:t>
      </w:r>
      <w:r w:rsidR="000C6FEA" w:rsidRPr="00456AB0">
        <w:rPr>
          <w:rFonts w:ascii="Verdana" w:eastAsia="Times New Roman" w:hAnsi="Verdana" w:cs="Arial"/>
          <w:color w:val="000000"/>
        </w:rPr>
        <w:t>insurance companies and self-insured employers</w:t>
      </w:r>
      <w:r w:rsidR="00926CA0" w:rsidRPr="00456AB0">
        <w:rPr>
          <w:rFonts w:ascii="Verdana" w:eastAsia="Times New Roman" w:hAnsi="Verdana" w:cs="Arial"/>
          <w:color w:val="000000"/>
        </w:rPr>
        <w:t xml:space="preserve"> which paid any indemnity (income) benefits to injured workers during the past year. </w:t>
      </w:r>
      <w:r w:rsidR="000C6FEA" w:rsidRPr="00456AB0">
        <w:rPr>
          <w:rFonts w:ascii="Verdana" w:eastAsia="Times New Roman" w:hAnsi="Verdana" w:cs="Arial"/>
          <w:color w:val="000000"/>
        </w:rPr>
        <w:t xml:space="preserve"> </w:t>
      </w:r>
      <w:r w:rsidR="00196AFB" w:rsidRPr="00456AB0">
        <w:rPr>
          <w:rFonts w:ascii="Verdana" w:eastAsia="Times New Roman" w:hAnsi="Verdana" w:cs="Arial"/>
          <w:color w:val="000000"/>
        </w:rPr>
        <w:t xml:space="preserve">The assessment is then billed </w:t>
      </w:r>
      <w:r w:rsidR="00862B05" w:rsidRPr="00456AB0">
        <w:rPr>
          <w:rFonts w:ascii="Verdana" w:eastAsia="Times New Roman" w:hAnsi="Verdana" w:cs="Arial"/>
          <w:color w:val="000000"/>
        </w:rPr>
        <w:t>semi-annually.  I</w:t>
      </w:r>
      <w:r w:rsidR="00196AFB" w:rsidRPr="00456AB0">
        <w:rPr>
          <w:rFonts w:ascii="Verdana" w:eastAsia="Times New Roman" w:hAnsi="Verdana" w:cs="Arial"/>
          <w:color w:val="000000"/>
        </w:rPr>
        <w:t xml:space="preserve">ndividual employers </w:t>
      </w:r>
      <w:r w:rsidR="007A28DD" w:rsidRPr="00456AB0">
        <w:rPr>
          <w:rFonts w:ascii="Verdana" w:eastAsia="Times New Roman" w:hAnsi="Verdana" w:cs="Arial"/>
          <w:color w:val="000000"/>
        </w:rPr>
        <w:t>may</w:t>
      </w:r>
      <w:r w:rsidR="00862B05" w:rsidRPr="00456AB0">
        <w:rPr>
          <w:rFonts w:ascii="Verdana" w:eastAsia="Times New Roman" w:hAnsi="Verdana" w:cs="Arial"/>
          <w:color w:val="000000"/>
        </w:rPr>
        <w:t xml:space="preserve"> not see this specific assessment, because it is p</w:t>
      </w:r>
      <w:r w:rsidR="00196AFB" w:rsidRPr="00456AB0">
        <w:rPr>
          <w:rFonts w:ascii="Verdana" w:eastAsia="Times New Roman" w:hAnsi="Verdana" w:cs="Arial"/>
          <w:color w:val="000000"/>
        </w:rPr>
        <w:t xml:space="preserve">art of their </w:t>
      </w:r>
      <w:r w:rsidR="00862B05" w:rsidRPr="00456AB0">
        <w:rPr>
          <w:rFonts w:ascii="Verdana" w:eastAsia="Times New Roman" w:hAnsi="Verdana" w:cs="Arial"/>
          <w:color w:val="000000"/>
        </w:rPr>
        <w:t xml:space="preserve">overall </w:t>
      </w:r>
      <w:r w:rsidR="00196AFB" w:rsidRPr="00456AB0">
        <w:rPr>
          <w:rFonts w:ascii="Verdana" w:eastAsia="Times New Roman" w:hAnsi="Verdana" w:cs="Arial"/>
          <w:color w:val="000000"/>
        </w:rPr>
        <w:t>insurance premium</w:t>
      </w:r>
      <w:r w:rsidR="00862B05" w:rsidRPr="00456AB0">
        <w:rPr>
          <w:rFonts w:ascii="Verdana" w:eastAsia="Times New Roman" w:hAnsi="Verdana" w:cs="Arial"/>
          <w:color w:val="000000"/>
        </w:rPr>
        <w:t xml:space="preserve"> for workers</w:t>
      </w:r>
      <w:r w:rsidR="005C7008" w:rsidRPr="00456AB0">
        <w:rPr>
          <w:rFonts w:ascii="Verdana" w:eastAsia="Times New Roman" w:hAnsi="Verdana" w:cs="Arial"/>
          <w:color w:val="000000"/>
        </w:rPr>
        <w:t>’</w:t>
      </w:r>
      <w:r w:rsidR="00862B05" w:rsidRPr="00456AB0">
        <w:rPr>
          <w:rFonts w:ascii="Verdana" w:eastAsia="Times New Roman" w:hAnsi="Verdana" w:cs="Arial"/>
          <w:color w:val="000000"/>
        </w:rPr>
        <w:t xml:space="preserve"> compensation coverage</w:t>
      </w:r>
      <w:r w:rsidR="00196AFB" w:rsidRPr="00456AB0">
        <w:rPr>
          <w:rFonts w:ascii="Verdana" w:eastAsia="Times New Roman" w:hAnsi="Verdana" w:cs="Arial"/>
          <w:color w:val="000000"/>
        </w:rPr>
        <w:t>.</w:t>
      </w:r>
      <w:r w:rsidR="009D0B04" w:rsidRPr="00456AB0">
        <w:rPr>
          <w:rFonts w:ascii="Verdana" w:eastAsia="Times New Roman" w:hAnsi="Verdana" w:cs="Arial"/>
          <w:color w:val="000000"/>
        </w:rPr>
        <w:t xml:space="preserve">  </w:t>
      </w:r>
      <w:r w:rsidR="00842410" w:rsidRPr="00456AB0">
        <w:rPr>
          <w:rFonts w:ascii="Verdana" w:eastAsia="Times New Roman" w:hAnsi="Verdana" w:cs="Arial"/>
          <w:color w:val="000000"/>
        </w:rPr>
        <w:t>A</w:t>
      </w:r>
      <w:r w:rsidR="009D0B04" w:rsidRPr="00456AB0">
        <w:rPr>
          <w:rFonts w:ascii="Verdana" w:eastAsia="Times New Roman" w:hAnsi="Verdana" w:cs="Arial"/>
          <w:color w:val="000000"/>
        </w:rPr>
        <w:t>n illust</w:t>
      </w:r>
      <w:r w:rsidR="00196AFB" w:rsidRPr="00456AB0">
        <w:rPr>
          <w:rFonts w:ascii="Verdana" w:eastAsia="Times New Roman" w:hAnsi="Verdana" w:cs="Arial"/>
          <w:color w:val="000000"/>
        </w:rPr>
        <w:t xml:space="preserve">ration of </w:t>
      </w:r>
      <w:r w:rsidR="00842410" w:rsidRPr="00456AB0">
        <w:rPr>
          <w:rFonts w:ascii="Verdana" w:eastAsia="Times New Roman" w:hAnsi="Verdana" w:cs="Arial"/>
          <w:color w:val="000000"/>
        </w:rPr>
        <w:t xml:space="preserve">the </w:t>
      </w:r>
      <w:r w:rsidR="00196AFB" w:rsidRPr="00456AB0">
        <w:rPr>
          <w:rFonts w:ascii="Verdana" w:eastAsia="Times New Roman" w:hAnsi="Verdana" w:cs="Arial"/>
          <w:color w:val="000000"/>
        </w:rPr>
        <w:t xml:space="preserve">Assessments </w:t>
      </w:r>
      <w:r w:rsidR="00BB364A">
        <w:rPr>
          <w:rFonts w:ascii="Verdana" w:eastAsia="Times New Roman" w:hAnsi="Verdana" w:cs="Arial"/>
          <w:color w:val="000000"/>
        </w:rPr>
        <w:t xml:space="preserve">for each </w:t>
      </w:r>
      <w:r w:rsidR="00BB364A" w:rsidRPr="00BB364A">
        <w:rPr>
          <w:rFonts w:ascii="Verdana" w:eastAsia="Times New Roman" w:hAnsi="Verdana" w:cs="Arial"/>
          <w:color w:val="000000"/>
          <w:u w:val="single"/>
        </w:rPr>
        <w:t>calendar year</w:t>
      </w:r>
      <w:r w:rsidR="00BB364A">
        <w:rPr>
          <w:rFonts w:ascii="Verdana" w:eastAsia="Times New Roman" w:hAnsi="Verdana" w:cs="Arial"/>
          <w:color w:val="000000"/>
        </w:rPr>
        <w:t xml:space="preserve"> </w:t>
      </w:r>
      <w:r w:rsidR="00862B05" w:rsidRPr="00456AB0">
        <w:rPr>
          <w:rFonts w:ascii="Verdana" w:eastAsia="Times New Roman" w:hAnsi="Verdana" w:cs="Arial"/>
          <w:color w:val="000000"/>
        </w:rPr>
        <w:t xml:space="preserve">from </w:t>
      </w:r>
      <w:r w:rsidR="00196AFB" w:rsidRPr="00456AB0">
        <w:rPr>
          <w:rFonts w:ascii="Verdana" w:eastAsia="Times New Roman" w:hAnsi="Verdana" w:cs="Arial"/>
          <w:color w:val="000000"/>
        </w:rPr>
        <w:t xml:space="preserve">2009 </w:t>
      </w:r>
      <w:r w:rsidR="00842410" w:rsidRPr="00456AB0">
        <w:rPr>
          <w:rFonts w:ascii="Verdana" w:eastAsia="Times New Roman" w:hAnsi="Verdana" w:cs="Arial"/>
          <w:color w:val="000000"/>
        </w:rPr>
        <w:t>is set out below.</w:t>
      </w:r>
    </w:p>
    <w:p w:rsidR="00BB364A" w:rsidRPr="00BB364A" w:rsidRDefault="00BB364A" w:rsidP="00BB364A">
      <w:pPr>
        <w:ind w:firstLine="720"/>
        <w:jc w:val="both"/>
        <w:rPr>
          <w:rFonts w:ascii="Verdana" w:hAnsi="Verdana" w:cs="Arial"/>
        </w:rPr>
      </w:pPr>
      <w:r w:rsidRPr="00456AB0">
        <w:rPr>
          <w:rFonts w:ascii="Verdana" w:hAnsi="Verdana" w:cs="Arial"/>
        </w:rPr>
        <w:t xml:space="preserve">The expense-side of </w:t>
      </w:r>
      <w:r>
        <w:rPr>
          <w:rFonts w:ascii="Verdana" w:hAnsi="Verdana" w:cs="Arial"/>
        </w:rPr>
        <w:t>ISIF</w:t>
      </w:r>
      <w:r w:rsidRPr="00456AB0">
        <w:rPr>
          <w:rFonts w:ascii="Verdana" w:hAnsi="Verdana" w:cs="Arial"/>
        </w:rPr>
        <w:t xml:space="preserve"> is broken into four main categories:  settlement payments, monthly disability payments, attorney fees and costs, and </w:t>
      </w:r>
      <w:r>
        <w:rPr>
          <w:rFonts w:ascii="Verdana" w:hAnsi="Verdana" w:cs="Arial"/>
        </w:rPr>
        <w:t>administrative</w:t>
      </w:r>
      <w:r w:rsidRPr="00456AB0">
        <w:rPr>
          <w:rFonts w:ascii="Verdana" w:hAnsi="Verdana" w:cs="Arial"/>
        </w:rPr>
        <w:t xml:space="preserve"> expenses.  These costs have been detailed in previous parts of this Annual Report.  Generally, expenses have been more predictable in recent years due to their relative stability.  As the chart</w:t>
      </w:r>
      <w:r>
        <w:rPr>
          <w:rFonts w:ascii="Verdana" w:hAnsi="Verdana" w:cs="Arial"/>
        </w:rPr>
        <w:t xml:space="preserve"> below</w:t>
      </w:r>
      <w:r w:rsidRPr="00456AB0">
        <w:rPr>
          <w:rFonts w:ascii="Verdana" w:hAnsi="Verdana" w:cs="Arial"/>
        </w:rPr>
        <w:t xml:space="preserve"> illustrates, </w:t>
      </w:r>
      <w:r>
        <w:rPr>
          <w:rFonts w:ascii="Verdana" w:hAnsi="Verdana" w:cs="Arial"/>
        </w:rPr>
        <w:t>calendar 2020 will experience a smaller increase in Assessment than the pattern from 2014.</w:t>
      </w:r>
    </w:p>
    <w:p w:rsidR="00BB364A" w:rsidRDefault="00BB364A" w:rsidP="00862B05">
      <w:pPr>
        <w:jc w:val="both"/>
        <w:rPr>
          <w:rFonts w:ascii="Verdana" w:eastAsia="Times New Roman" w:hAnsi="Verdana" w:cs="Arial"/>
          <w:color w:val="000000"/>
        </w:rPr>
      </w:pPr>
    </w:p>
    <w:p w:rsidR="00BB364A" w:rsidRPr="00456AB0" w:rsidRDefault="00BB364A" w:rsidP="00862B05">
      <w:pPr>
        <w:jc w:val="both"/>
        <w:rPr>
          <w:rFonts w:ascii="Verdana" w:eastAsia="Times New Roman" w:hAnsi="Verdana" w:cs="Arial"/>
          <w:color w:val="000000"/>
        </w:rPr>
      </w:pPr>
    </w:p>
    <w:tbl>
      <w:tblPr>
        <w:tblW w:w="12600" w:type="dxa"/>
        <w:tblInd w:w="108" w:type="dxa"/>
        <w:tblLook w:val="04A0" w:firstRow="1" w:lastRow="0" w:firstColumn="1" w:lastColumn="0" w:noHBand="0" w:noVBand="1"/>
      </w:tblPr>
      <w:tblGrid>
        <w:gridCol w:w="1096"/>
        <w:gridCol w:w="436"/>
        <w:gridCol w:w="1356"/>
        <w:gridCol w:w="964"/>
        <w:gridCol w:w="964"/>
        <w:gridCol w:w="964"/>
        <w:gridCol w:w="964"/>
        <w:gridCol w:w="976"/>
        <w:gridCol w:w="976"/>
        <w:gridCol w:w="976"/>
        <w:gridCol w:w="976"/>
        <w:gridCol w:w="976"/>
        <w:gridCol w:w="976"/>
      </w:tblGrid>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sz w:val="24"/>
                <w:szCs w:val="24"/>
              </w:rPr>
            </w:pP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3856" w:type="dxa"/>
            <w:gridSpan w:val="4"/>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Verdana" w:eastAsia="Times New Roman" w:hAnsi="Verdana" w:cs="Calibri"/>
                <w:b/>
                <w:bCs/>
                <w:color w:val="000000"/>
              </w:rPr>
            </w:pPr>
            <w:r w:rsidRPr="00B46781">
              <w:rPr>
                <w:rFonts w:ascii="Verdana" w:eastAsia="Times New Roman" w:hAnsi="Verdana" w:cs="Calibri"/>
                <w:b/>
                <w:bCs/>
                <w:color w:val="000000"/>
              </w:rPr>
              <w:t xml:space="preserve">          Annual Assessment    CY  </w:t>
            </w: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Verdana" w:eastAsia="Times New Roman" w:hAnsi="Verdana" w:cs="Calibri"/>
                <w:b/>
                <w:bCs/>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2009</w:t>
            </w: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7,088,187</w:t>
            </w:r>
          </w:p>
        </w:tc>
        <w:tc>
          <w:tcPr>
            <w:tcW w:w="8736" w:type="dxa"/>
            <w:gridSpan w:val="9"/>
            <w:vMerge w:val="restart"/>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Verdana" w:eastAsia="Times New Roman" w:hAnsi="Verdana" w:cs="Calibri"/>
                <w:color w:val="000000"/>
              </w:rPr>
            </w:pPr>
            <w:r w:rsidRPr="00B46781">
              <w:rPr>
                <w:rFonts w:ascii="Verdana" w:eastAsia="Times New Roman" w:hAnsi="Verdana" w:cs="Calibri"/>
                <w:noProof/>
                <w:color w:val="000000"/>
              </w:rPr>
              <w:drawing>
                <wp:anchor distT="0" distB="0" distL="114300" distR="114300" simplePos="0" relativeHeight="251664384" behindDoc="0" locked="0" layoutInCell="1" allowOverlap="1">
                  <wp:simplePos x="0" y="0"/>
                  <wp:positionH relativeFrom="column">
                    <wp:posOffset>105410</wp:posOffset>
                  </wp:positionH>
                  <wp:positionV relativeFrom="paragraph">
                    <wp:posOffset>-186690</wp:posOffset>
                  </wp:positionV>
                  <wp:extent cx="4648200" cy="2430145"/>
                  <wp:effectExtent l="0" t="0" r="0" b="8255"/>
                  <wp:wrapNone/>
                  <wp:docPr id="11" name="Chart 11">
                    <a:extLst xmlns:a="http://schemas.openxmlformats.org/drawingml/2006/main">
                      <a:ext uri="{FF2B5EF4-FFF2-40B4-BE49-F238E27FC236}">
                        <a16:creationId xmlns:a16="http://schemas.microsoft.com/office/drawing/2014/main" id="{86604015-DF18-4D7B-BFB3-E85AFF3561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Verdana" w:eastAsia="Times New Roman" w:hAnsi="Verdana" w:cs="Calibri"/>
                <w:color w:val="000000"/>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10</w:t>
            </w: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4,103,171</w:t>
            </w:r>
          </w:p>
        </w:tc>
        <w:tc>
          <w:tcPr>
            <w:tcW w:w="8736" w:type="dxa"/>
            <w:gridSpan w:val="9"/>
            <w:vMerge/>
            <w:tcBorders>
              <w:top w:val="nil"/>
              <w:left w:val="nil"/>
              <w:bottom w:val="nil"/>
              <w:right w:val="nil"/>
            </w:tcBorders>
            <w:vAlign w:val="center"/>
            <w:hideMark/>
          </w:tcPr>
          <w:p w:rsidR="00B46781" w:rsidRPr="00B46781" w:rsidRDefault="00B46781" w:rsidP="00B46781">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11</w:t>
            </w: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3,782,089</w:t>
            </w:r>
          </w:p>
        </w:tc>
        <w:tc>
          <w:tcPr>
            <w:tcW w:w="8736" w:type="dxa"/>
            <w:gridSpan w:val="9"/>
            <w:vMerge/>
            <w:tcBorders>
              <w:top w:val="nil"/>
              <w:left w:val="nil"/>
              <w:bottom w:val="nil"/>
              <w:right w:val="nil"/>
            </w:tcBorders>
            <w:vAlign w:val="center"/>
            <w:hideMark/>
          </w:tcPr>
          <w:p w:rsidR="00B46781" w:rsidRPr="00B46781" w:rsidRDefault="00B46781" w:rsidP="00B46781">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12</w:t>
            </w: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3,701,257</w:t>
            </w:r>
          </w:p>
        </w:tc>
        <w:tc>
          <w:tcPr>
            <w:tcW w:w="8736" w:type="dxa"/>
            <w:gridSpan w:val="9"/>
            <w:vMerge/>
            <w:tcBorders>
              <w:top w:val="nil"/>
              <w:left w:val="nil"/>
              <w:bottom w:val="nil"/>
              <w:right w:val="nil"/>
            </w:tcBorders>
            <w:vAlign w:val="center"/>
            <w:hideMark/>
          </w:tcPr>
          <w:p w:rsidR="00B46781" w:rsidRPr="00B46781" w:rsidRDefault="00B46781" w:rsidP="00B46781">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13</w:t>
            </w: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3,636,709</w:t>
            </w:r>
          </w:p>
        </w:tc>
        <w:tc>
          <w:tcPr>
            <w:tcW w:w="8736" w:type="dxa"/>
            <w:gridSpan w:val="9"/>
            <w:vMerge/>
            <w:tcBorders>
              <w:top w:val="nil"/>
              <w:left w:val="nil"/>
              <w:bottom w:val="nil"/>
              <w:right w:val="nil"/>
            </w:tcBorders>
            <w:vAlign w:val="center"/>
            <w:hideMark/>
          </w:tcPr>
          <w:p w:rsidR="00B46781" w:rsidRPr="00B46781" w:rsidRDefault="00B46781" w:rsidP="00B46781">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14</w:t>
            </w: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4,969,970</w:t>
            </w:r>
          </w:p>
        </w:tc>
        <w:tc>
          <w:tcPr>
            <w:tcW w:w="8736" w:type="dxa"/>
            <w:gridSpan w:val="9"/>
            <w:vMerge/>
            <w:tcBorders>
              <w:top w:val="nil"/>
              <w:left w:val="nil"/>
              <w:bottom w:val="nil"/>
              <w:right w:val="nil"/>
            </w:tcBorders>
            <w:vAlign w:val="center"/>
            <w:hideMark/>
          </w:tcPr>
          <w:p w:rsidR="00B46781" w:rsidRPr="00B46781" w:rsidRDefault="00B46781" w:rsidP="00B46781">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15</w:t>
            </w: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3,868,132</w:t>
            </w:r>
          </w:p>
        </w:tc>
        <w:tc>
          <w:tcPr>
            <w:tcW w:w="8736" w:type="dxa"/>
            <w:gridSpan w:val="9"/>
            <w:vMerge/>
            <w:tcBorders>
              <w:top w:val="nil"/>
              <w:left w:val="nil"/>
              <w:bottom w:val="nil"/>
              <w:right w:val="nil"/>
            </w:tcBorders>
            <w:vAlign w:val="center"/>
            <w:hideMark/>
          </w:tcPr>
          <w:p w:rsidR="00B46781" w:rsidRPr="00B46781" w:rsidRDefault="00B46781" w:rsidP="00B46781">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16</w:t>
            </w: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3,600,209</w:t>
            </w:r>
          </w:p>
        </w:tc>
        <w:tc>
          <w:tcPr>
            <w:tcW w:w="8736" w:type="dxa"/>
            <w:gridSpan w:val="9"/>
            <w:vMerge/>
            <w:tcBorders>
              <w:top w:val="nil"/>
              <w:left w:val="nil"/>
              <w:bottom w:val="nil"/>
              <w:right w:val="nil"/>
            </w:tcBorders>
            <w:vAlign w:val="center"/>
            <w:hideMark/>
          </w:tcPr>
          <w:p w:rsidR="00B46781" w:rsidRPr="00B46781" w:rsidRDefault="00B46781" w:rsidP="00B46781">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17</w:t>
            </w: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5,390,438</w:t>
            </w:r>
          </w:p>
        </w:tc>
        <w:tc>
          <w:tcPr>
            <w:tcW w:w="8736" w:type="dxa"/>
            <w:gridSpan w:val="9"/>
            <w:vMerge/>
            <w:tcBorders>
              <w:top w:val="nil"/>
              <w:left w:val="nil"/>
              <w:bottom w:val="nil"/>
              <w:right w:val="nil"/>
            </w:tcBorders>
            <w:vAlign w:val="center"/>
            <w:hideMark/>
          </w:tcPr>
          <w:p w:rsidR="00B46781" w:rsidRPr="00B46781" w:rsidRDefault="00B46781" w:rsidP="00B46781">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18</w:t>
            </w: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3,707,562</w:t>
            </w:r>
          </w:p>
        </w:tc>
        <w:tc>
          <w:tcPr>
            <w:tcW w:w="8736" w:type="dxa"/>
            <w:gridSpan w:val="9"/>
            <w:vMerge/>
            <w:tcBorders>
              <w:top w:val="nil"/>
              <w:left w:val="nil"/>
              <w:bottom w:val="nil"/>
              <w:right w:val="nil"/>
            </w:tcBorders>
            <w:vAlign w:val="center"/>
            <w:hideMark/>
          </w:tcPr>
          <w:p w:rsidR="00B46781" w:rsidRPr="00B46781" w:rsidRDefault="00B46781" w:rsidP="00B46781">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19</w:t>
            </w: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2,970,515</w:t>
            </w:r>
          </w:p>
        </w:tc>
        <w:tc>
          <w:tcPr>
            <w:tcW w:w="8736" w:type="dxa"/>
            <w:gridSpan w:val="9"/>
            <w:vMerge/>
            <w:tcBorders>
              <w:top w:val="nil"/>
              <w:left w:val="nil"/>
              <w:bottom w:val="nil"/>
              <w:right w:val="nil"/>
            </w:tcBorders>
            <w:vAlign w:val="center"/>
            <w:hideMark/>
          </w:tcPr>
          <w:p w:rsidR="00B46781" w:rsidRPr="00B46781" w:rsidRDefault="00B46781" w:rsidP="00B46781">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20</w:t>
            </w: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r w:rsidRPr="00B46781">
              <w:rPr>
                <w:rFonts w:ascii="Verdana" w:eastAsia="Times New Roman" w:hAnsi="Verdana" w:cs="Calibri"/>
                <w:color w:val="000000"/>
              </w:rPr>
              <w:t>3,436,218</w:t>
            </w:r>
          </w:p>
        </w:tc>
        <w:tc>
          <w:tcPr>
            <w:tcW w:w="8736" w:type="dxa"/>
            <w:gridSpan w:val="9"/>
            <w:vMerge/>
            <w:tcBorders>
              <w:top w:val="nil"/>
              <w:left w:val="nil"/>
              <w:bottom w:val="nil"/>
              <w:right w:val="nil"/>
            </w:tcBorders>
            <w:vAlign w:val="center"/>
            <w:hideMark/>
          </w:tcPr>
          <w:p w:rsidR="00B46781" w:rsidRPr="00B46781" w:rsidRDefault="00B46781" w:rsidP="00B46781">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jc w:val="right"/>
              <w:rPr>
                <w:rFonts w:ascii="Verdana" w:eastAsia="Times New Roman" w:hAnsi="Verdana" w:cs="Calibri"/>
                <w:color w:val="000000"/>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8736" w:type="dxa"/>
            <w:gridSpan w:val="9"/>
            <w:vMerge/>
            <w:tcBorders>
              <w:top w:val="nil"/>
              <w:left w:val="nil"/>
              <w:bottom w:val="nil"/>
              <w:right w:val="nil"/>
            </w:tcBorders>
            <w:vAlign w:val="center"/>
            <w:hideMark/>
          </w:tcPr>
          <w:p w:rsidR="00B46781" w:rsidRPr="00B46781" w:rsidRDefault="00B46781" w:rsidP="00B46781">
            <w:pPr>
              <w:spacing w:before="0" w:after="0" w:line="240" w:lineRule="auto"/>
              <w:rPr>
                <w:rFonts w:ascii="Verdana" w:eastAsia="Times New Roman" w:hAnsi="Verdana" w:cs="Calibri"/>
                <w:color w:val="000000"/>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r>
      <w:tr w:rsidR="00B46781" w:rsidRPr="00B46781" w:rsidTr="00B46781">
        <w:trPr>
          <w:trHeight w:val="300"/>
        </w:trPr>
        <w:tc>
          <w:tcPr>
            <w:tcW w:w="109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43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135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64"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64"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64"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64"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c>
          <w:tcPr>
            <w:tcW w:w="976" w:type="dxa"/>
            <w:tcBorders>
              <w:top w:val="nil"/>
              <w:left w:val="nil"/>
              <w:bottom w:val="nil"/>
              <w:right w:val="nil"/>
            </w:tcBorders>
            <w:shd w:val="clear" w:color="auto" w:fill="auto"/>
            <w:noWrap/>
            <w:vAlign w:val="bottom"/>
            <w:hideMark/>
          </w:tcPr>
          <w:p w:rsidR="00B46781" w:rsidRPr="00B46781" w:rsidRDefault="00B46781" w:rsidP="00B46781">
            <w:pPr>
              <w:spacing w:before="0" w:after="0" w:line="240" w:lineRule="auto"/>
              <w:rPr>
                <w:rFonts w:ascii="Times New Roman" w:eastAsia="Times New Roman" w:hAnsi="Times New Roman" w:cs="Times New Roman"/>
              </w:rPr>
            </w:pPr>
          </w:p>
        </w:tc>
      </w:tr>
    </w:tbl>
    <w:p w:rsidR="00B46781" w:rsidRDefault="00B46781" w:rsidP="00C235B7">
      <w:pPr>
        <w:ind w:firstLine="720"/>
        <w:jc w:val="both"/>
        <w:rPr>
          <w:rFonts w:ascii="Verdana" w:hAnsi="Verdana" w:cs="Arial"/>
        </w:rPr>
      </w:pPr>
    </w:p>
    <w:sectPr w:rsidR="00B46781" w:rsidSect="00A4162C">
      <w:footerReference w:type="default" r:id="rId16"/>
      <w:pgSz w:w="12240" w:h="15840"/>
      <w:pgMar w:top="1440" w:right="1080" w:bottom="1440" w:left="1080" w:header="720" w:footer="418" w:gutter="0"/>
      <w:pgBorders w:display="firstPage" w:offsetFrom="page">
        <w:top w:val="single" w:sz="48" w:space="24" w:color="000099"/>
        <w:left w:val="single" w:sz="48" w:space="24" w:color="000099"/>
        <w:bottom w:val="single" w:sz="48" w:space="24" w:color="000099"/>
        <w:right w:val="single" w:sz="48" w:space="24" w:color="000099"/>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7CF" w:rsidRDefault="009277CF" w:rsidP="00121859">
      <w:pPr>
        <w:spacing w:after="0" w:line="240" w:lineRule="auto"/>
      </w:pPr>
      <w:r>
        <w:separator/>
      </w:r>
    </w:p>
  </w:endnote>
  <w:endnote w:type="continuationSeparator" w:id="0">
    <w:p w:rsidR="009277CF" w:rsidRDefault="009277CF" w:rsidP="00121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7CF" w:rsidRPr="00116EE9" w:rsidRDefault="009277CF">
    <w:pPr>
      <w:pStyle w:val="Footer"/>
      <w:jc w:val="center"/>
      <w:rPr>
        <w:rFonts w:ascii="Arial" w:hAnsi="Arial" w:cs="Arial"/>
      </w:rPr>
    </w:pPr>
    <w:r w:rsidRPr="00116EE9">
      <w:rPr>
        <w:rFonts w:ascii="Arial" w:hAnsi="Arial" w:cs="Arial"/>
      </w:rPr>
      <w:t>ISIF 201</w:t>
    </w:r>
    <w:r>
      <w:rPr>
        <w:rFonts w:ascii="Arial" w:hAnsi="Arial" w:cs="Arial"/>
      </w:rPr>
      <w:t>9</w:t>
    </w:r>
    <w:r w:rsidRPr="00116EE9">
      <w:rPr>
        <w:rFonts w:ascii="Arial" w:hAnsi="Arial" w:cs="Arial"/>
      </w:rPr>
      <w:t xml:space="preserve"> </w:t>
    </w:r>
    <w:r w:rsidR="00316A9D">
      <w:rPr>
        <w:rFonts w:ascii="Arial" w:hAnsi="Arial" w:cs="Arial"/>
      </w:rPr>
      <w:t xml:space="preserve">FY </w:t>
    </w:r>
    <w:r w:rsidRPr="00116EE9">
      <w:rPr>
        <w:rFonts w:ascii="Arial" w:hAnsi="Arial" w:cs="Arial"/>
      </w:rPr>
      <w:t xml:space="preserve">Report - Page </w:t>
    </w:r>
    <w:sdt>
      <w:sdtPr>
        <w:rPr>
          <w:rFonts w:ascii="Arial" w:hAnsi="Arial" w:cs="Arial"/>
        </w:rPr>
        <w:id w:val="1399865459"/>
        <w:docPartObj>
          <w:docPartGallery w:val="Page Numbers (Bottom of Page)"/>
          <w:docPartUnique/>
        </w:docPartObj>
      </w:sdtPr>
      <w:sdtEndPr>
        <w:rPr>
          <w:noProof/>
        </w:rPr>
      </w:sdtEndPr>
      <w:sdtContent>
        <w:r w:rsidRPr="00116EE9">
          <w:rPr>
            <w:rFonts w:ascii="Arial" w:hAnsi="Arial" w:cs="Arial"/>
          </w:rPr>
          <w:fldChar w:fldCharType="begin"/>
        </w:r>
        <w:r w:rsidRPr="00116EE9">
          <w:rPr>
            <w:rFonts w:ascii="Arial" w:hAnsi="Arial" w:cs="Arial"/>
          </w:rPr>
          <w:instrText xml:space="preserve"> PAGE   \* MERGEFORMAT </w:instrText>
        </w:r>
        <w:r w:rsidRPr="00116EE9">
          <w:rPr>
            <w:rFonts w:ascii="Arial" w:hAnsi="Arial" w:cs="Arial"/>
          </w:rPr>
          <w:fldChar w:fldCharType="separate"/>
        </w:r>
        <w:r w:rsidRPr="00116EE9">
          <w:rPr>
            <w:rFonts w:ascii="Arial" w:hAnsi="Arial" w:cs="Arial"/>
            <w:noProof/>
          </w:rPr>
          <w:t>13</w:t>
        </w:r>
        <w:r w:rsidRPr="00116EE9">
          <w:rPr>
            <w:rFonts w:ascii="Arial" w:hAnsi="Arial" w:cs="Arial"/>
            <w:noProof/>
          </w:rPr>
          <w:fldChar w:fldCharType="end"/>
        </w:r>
      </w:sdtContent>
    </w:sdt>
  </w:p>
  <w:p w:rsidR="009277CF" w:rsidRDefault="009277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7CF" w:rsidRDefault="009277CF" w:rsidP="00121859">
      <w:pPr>
        <w:spacing w:after="0" w:line="240" w:lineRule="auto"/>
      </w:pPr>
      <w:r>
        <w:separator/>
      </w:r>
    </w:p>
  </w:footnote>
  <w:footnote w:type="continuationSeparator" w:id="0">
    <w:p w:rsidR="009277CF" w:rsidRDefault="009277CF" w:rsidP="001218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C52AF"/>
    <w:multiLevelType w:val="hybridMultilevel"/>
    <w:tmpl w:val="CFBC18FC"/>
    <w:lvl w:ilvl="0" w:tplc="4C20C2C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2F1"/>
    <w:rsid w:val="000005D5"/>
    <w:rsid w:val="00006536"/>
    <w:rsid w:val="000069F5"/>
    <w:rsid w:val="00010532"/>
    <w:rsid w:val="00011671"/>
    <w:rsid w:val="0001509B"/>
    <w:rsid w:val="00015734"/>
    <w:rsid w:val="0001772A"/>
    <w:rsid w:val="0002309C"/>
    <w:rsid w:val="00024818"/>
    <w:rsid w:val="00027087"/>
    <w:rsid w:val="00030B84"/>
    <w:rsid w:val="0003164A"/>
    <w:rsid w:val="00035FE3"/>
    <w:rsid w:val="00040703"/>
    <w:rsid w:val="000418F8"/>
    <w:rsid w:val="00043000"/>
    <w:rsid w:val="00043CB0"/>
    <w:rsid w:val="000452A5"/>
    <w:rsid w:val="000460AE"/>
    <w:rsid w:val="00046B8E"/>
    <w:rsid w:val="00047963"/>
    <w:rsid w:val="00050387"/>
    <w:rsid w:val="00052956"/>
    <w:rsid w:val="00056328"/>
    <w:rsid w:val="00062D60"/>
    <w:rsid w:val="000661D6"/>
    <w:rsid w:val="00066901"/>
    <w:rsid w:val="00066D3C"/>
    <w:rsid w:val="0006767A"/>
    <w:rsid w:val="00067885"/>
    <w:rsid w:val="00070831"/>
    <w:rsid w:val="000722E8"/>
    <w:rsid w:val="000744B6"/>
    <w:rsid w:val="00081D02"/>
    <w:rsid w:val="00082586"/>
    <w:rsid w:val="00083811"/>
    <w:rsid w:val="00085F82"/>
    <w:rsid w:val="0008629B"/>
    <w:rsid w:val="000869FB"/>
    <w:rsid w:val="00087466"/>
    <w:rsid w:val="00090746"/>
    <w:rsid w:val="0009502D"/>
    <w:rsid w:val="00097634"/>
    <w:rsid w:val="000A16D5"/>
    <w:rsid w:val="000A2097"/>
    <w:rsid w:val="000A5B4E"/>
    <w:rsid w:val="000A716D"/>
    <w:rsid w:val="000C0D80"/>
    <w:rsid w:val="000C1387"/>
    <w:rsid w:val="000C3660"/>
    <w:rsid w:val="000C3962"/>
    <w:rsid w:val="000C694E"/>
    <w:rsid w:val="000C6FEA"/>
    <w:rsid w:val="000C72EE"/>
    <w:rsid w:val="000C7A94"/>
    <w:rsid w:val="000D016B"/>
    <w:rsid w:val="000D27FE"/>
    <w:rsid w:val="000D4C38"/>
    <w:rsid w:val="000E2473"/>
    <w:rsid w:val="000F1462"/>
    <w:rsid w:val="000F2ED1"/>
    <w:rsid w:val="000F5475"/>
    <w:rsid w:val="000F71B2"/>
    <w:rsid w:val="000F7888"/>
    <w:rsid w:val="000F7A83"/>
    <w:rsid w:val="00107544"/>
    <w:rsid w:val="00107554"/>
    <w:rsid w:val="00111B20"/>
    <w:rsid w:val="00113523"/>
    <w:rsid w:val="00116EE9"/>
    <w:rsid w:val="00121859"/>
    <w:rsid w:val="00125580"/>
    <w:rsid w:val="001300DC"/>
    <w:rsid w:val="00132DA9"/>
    <w:rsid w:val="00134CD6"/>
    <w:rsid w:val="00135CAE"/>
    <w:rsid w:val="0014063F"/>
    <w:rsid w:val="00140730"/>
    <w:rsid w:val="00142CF0"/>
    <w:rsid w:val="00144BA9"/>
    <w:rsid w:val="00144E8E"/>
    <w:rsid w:val="00150E19"/>
    <w:rsid w:val="0015402E"/>
    <w:rsid w:val="00154264"/>
    <w:rsid w:val="00154DD5"/>
    <w:rsid w:val="00155C15"/>
    <w:rsid w:val="001568FB"/>
    <w:rsid w:val="00163FF5"/>
    <w:rsid w:val="00166281"/>
    <w:rsid w:val="00170255"/>
    <w:rsid w:val="00170A65"/>
    <w:rsid w:val="00171C4D"/>
    <w:rsid w:val="0017726B"/>
    <w:rsid w:val="00181C22"/>
    <w:rsid w:val="001832CB"/>
    <w:rsid w:val="00186F60"/>
    <w:rsid w:val="00195CE1"/>
    <w:rsid w:val="0019612E"/>
    <w:rsid w:val="00196589"/>
    <w:rsid w:val="00196AFB"/>
    <w:rsid w:val="00196F99"/>
    <w:rsid w:val="001A05B3"/>
    <w:rsid w:val="001A1C77"/>
    <w:rsid w:val="001A2AF9"/>
    <w:rsid w:val="001A749A"/>
    <w:rsid w:val="001B1FFE"/>
    <w:rsid w:val="001B5129"/>
    <w:rsid w:val="001C0158"/>
    <w:rsid w:val="001C047A"/>
    <w:rsid w:val="001C1469"/>
    <w:rsid w:val="001C31EF"/>
    <w:rsid w:val="001D0631"/>
    <w:rsid w:val="001D4DB6"/>
    <w:rsid w:val="001E114C"/>
    <w:rsid w:val="001E1C18"/>
    <w:rsid w:val="001E282A"/>
    <w:rsid w:val="001E4E96"/>
    <w:rsid w:val="001E6753"/>
    <w:rsid w:val="001E6AAE"/>
    <w:rsid w:val="001E6E57"/>
    <w:rsid w:val="001E7830"/>
    <w:rsid w:val="001F34CF"/>
    <w:rsid w:val="001F3B83"/>
    <w:rsid w:val="00203537"/>
    <w:rsid w:val="00210C48"/>
    <w:rsid w:val="00211976"/>
    <w:rsid w:val="002145A1"/>
    <w:rsid w:val="00221905"/>
    <w:rsid w:val="002227DB"/>
    <w:rsid w:val="00222E91"/>
    <w:rsid w:val="00224751"/>
    <w:rsid w:val="002328DF"/>
    <w:rsid w:val="0023352D"/>
    <w:rsid w:val="002423C7"/>
    <w:rsid w:val="00244A56"/>
    <w:rsid w:val="00246368"/>
    <w:rsid w:val="00246672"/>
    <w:rsid w:val="002511F6"/>
    <w:rsid w:val="0026406E"/>
    <w:rsid w:val="002708C2"/>
    <w:rsid w:val="00271F88"/>
    <w:rsid w:val="00273C06"/>
    <w:rsid w:val="0027588B"/>
    <w:rsid w:val="00276EF2"/>
    <w:rsid w:val="00277F61"/>
    <w:rsid w:val="002840E6"/>
    <w:rsid w:val="0028417C"/>
    <w:rsid w:val="00287E02"/>
    <w:rsid w:val="00291D10"/>
    <w:rsid w:val="00292C56"/>
    <w:rsid w:val="002A2F55"/>
    <w:rsid w:val="002A5FC5"/>
    <w:rsid w:val="002A7409"/>
    <w:rsid w:val="002B0C06"/>
    <w:rsid w:val="002B1098"/>
    <w:rsid w:val="002B164F"/>
    <w:rsid w:val="002B24C9"/>
    <w:rsid w:val="002B67A8"/>
    <w:rsid w:val="002B6920"/>
    <w:rsid w:val="002C34E2"/>
    <w:rsid w:val="002C43C1"/>
    <w:rsid w:val="002C6635"/>
    <w:rsid w:val="002C6ABD"/>
    <w:rsid w:val="002C7783"/>
    <w:rsid w:val="002D0D9E"/>
    <w:rsid w:val="002D1EDC"/>
    <w:rsid w:val="002E37AE"/>
    <w:rsid w:val="002E7687"/>
    <w:rsid w:val="002F1546"/>
    <w:rsid w:val="002F2D13"/>
    <w:rsid w:val="002F3863"/>
    <w:rsid w:val="00301C5A"/>
    <w:rsid w:val="003064F0"/>
    <w:rsid w:val="0030673B"/>
    <w:rsid w:val="003075A0"/>
    <w:rsid w:val="0031046F"/>
    <w:rsid w:val="003108A9"/>
    <w:rsid w:val="00314F20"/>
    <w:rsid w:val="00314FA1"/>
    <w:rsid w:val="00315990"/>
    <w:rsid w:val="00316A9D"/>
    <w:rsid w:val="003218BF"/>
    <w:rsid w:val="00324D17"/>
    <w:rsid w:val="0032769C"/>
    <w:rsid w:val="0033007F"/>
    <w:rsid w:val="00330A79"/>
    <w:rsid w:val="00334F82"/>
    <w:rsid w:val="00337AC0"/>
    <w:rsid w:val="00343F65"/>
    <w:rsid w:val="003478D6"/>
    <w:rsid w:val="003522A8"/>
    <w:rsid w:val="0035348E"/>
    <w:rsid w:val="00353FF9"/>
    <w:rsid w:val="00355EFA"/>
    <w:rsid w:val="0035622E"/>
    <w:rsid w:val="0035782E"/>
    <w:rsid w:val="00357E6C"/>
    <w:rsid w:val="00362541"/>
    <w:rsid w:val="00364E02"/>
    <w:rsid w:val="00371901"/>
    <w:rsid w:val="00371BAF"/>
    <w:rsid w:val="00371FAA"/>
    <w:rsid w:val="00375C50"/>
    <w:rsid w:val="003774A6"/>
    <w:rsid w:val="00382B4A"/>
    <w:rsid w:val="00384B2D"/>
    <w:rsid w:val="003868AD"/>
    <w:rsid w:val="00386A8C"/>
    <w:rsid w:val="00387FB7"/>
    <w:rsid w:val="00393A28"/>
    <w:rsid w:val="0039693F"/>
    <w:rsid w:val="003A17FC"/>
    <w:rsid w:val="003A26C3"/>
    <w:rsid w:val="003A358C"/>
    <w:rsid w:val="003A3841"/>
    <w:rsid w:val="003A507B"/>
    <w:rsid w:val="003A5500"/>
    <w:rsid w:val="003A73C4"/>
    <w:rsid w:val="003B3070"/>
    <w:rsid w:val="003B50D5"/>
    <w:rsid w:val="003B52DF"/>
    <w:rsid w:val="003B6F11"/>
    <w:rsid w:val="003B7970"/>
    <w:rsid w:val="003C20DA"/>
    <w:rsid w:val="003C28C2"/>
    <w:rsid w:val="003D0666"/>
    <w:rsid w:val="003D313D"/>
    <w:rsid w:val="003D64F6"/>
    <w:rsid w:val="003D68FA"/>
    <w:rsid w:val="003E02D9"/>
    <w:rsid w:val="003E2815"/>
    <w:rsid w:val="003E3B3B"/>
    <w:rsid w:val="003E3F6E"/>
    <w:rsid w:val="003E4094"/>
    <w:rsid w:val="003E5306"/>
    <w:rsid w:val="003E64CE"/>
    <w:rsid w:val="003E6605"/>
    <w:rsid w:val="003E6B15"/>
    <w:rsid w:val="003F1F1F"/>
    <w:rsid w:val="003F4A64"/>
    <w:rsid w:val="003F61DA"/>
    <w:rsid w:val="003F789F"/>
    <w:rsid w:val="003F797C"/>
    <w:rsid w:val="004041CC"/>
    <w:rsid w:val="004054DF"/>
    <w:rsid w:val="004064B8"/>
    <w:rsid w:val="00406AF1"/>
    <w:rsid w:val="00410CD6"/>
    <w:rsid w:val="00412A0E"/>
    <w:rsid w:val="00415106"/>
    <w:rsid w:val="0042338A"/>
    <w:rsid w:val="00423E22"/>
    <w:rsid w:val="004265CE"/>
    <w:rsid w:val="00431F06"/>
    <w:rsid w:val="00433779"/>
    <w:rsid w:val="00434986"/>
    <w:rsid w:val="00434990"/>
    <w:rsid w:val="004369DF"/>
    <w:rsid w:val="004379FE"/>
    <w:rsid w:val="0044493C"/>
    <w:rsid w:val="00444C98"/>
    <w:rsid w:val="00446EB9"/>
    <w:rsid w:val="004479B2"/>
    <w:rsid w:val="00453C77"/>
    <w:rsid w:val="00456AB0"/>
    <w:rsid w:val="004579B8"/>
    <w:rsid w:val="00461EF8"/>
    <w:rsid w:val="0046480E"/>
    <w:rsid w:val="00466B2C"/>
    <w:rsid w:val="00467C40"/>
    <w:rsid w:val="0047028E"/>
    <w:rsid w:val="0047062E"/>
    <w:rsid w:val="0047680D"/>
    <w:rsid w:val="00481298"/>
    <w:rsid w:val="004842E1"/>
    <w:rsid w:val="004844FA"/>
    <w:rsid w:val="00484BC3"/>
    <w:rsid w:val="00485891"/>
    <w:rsid w:val="00490B50"/>
    <w:rsid w:val="004935D5"/>
    <w:rsid w:val="004943B5"/>
    <w:rsid w:val="004A32D6"/>
    <w:rsid w:val="004A3F44"/>
    <w:rsid w:val="004A4CE6"/>
    <w:rsid w:val="004A52BA"/>
    <w:rsid w:val="004B173F"/>
    <w:rsid w:val="004B7084"/>
    <w:rsid w:val="004C138E"/>
    <w:rsid w:val="004C40B3"/>
    <w:rsid w:val="004C56C2"/>
    <w:rsid w:val="004C6045"/>
    <w:rsid w:val="004C788D"/>
    <w:rsid w:val="004D181E"/>
    <w:rsid w:val="004D7136"/>
    <w:rsid w:val="004D7550"/>
    <w:rsid w:val="004D7C8A"/>
    <w:rsid w:val="004E47BD"/>
    <w:rsid w:val="004E6012"/>
    <w:rsid w:val="004E68C4"/>
    <w:rsid w:val="004F13B9"/>
    <w:rsid w:val="004F1839"/>
    <w:rsid w:val="004F2201"/>
    <w:rsid w:val="004F6574"/>
    <w:rsid w:val="00503A35"/>
    <w:rsid w:val="005047DF"/>
    <w:rsid w:val="00504B6B"/>
    <w:rsid w:val="00505BD5"/>
    <w:rsid w:val="00510538"/>
    <w:rsid w:val="0051112B"/>
    <w:rsid w:val="005143D5"/>
    <w:rsid w:val="00516584"/>
    <w:rsid w:val="00522FBA"/>
    <w:rsid w:val="005264A0"/>
    <w:rsid w:val="00530BB3"/>
    <w:rsid w:val="005319C5"/>
    <w:rsid w:val="00532D14"/>
    <w:rsid w:val="00537766"/>
    <w:rsid w:val="005426CF"/>
    <w:rsid w:val="00542E30"/>
    <w:rsid w:val="00543507"/>
    <w:rsid w:val="0054488D"/>
    <w:rsid w:val="005473CF"/>
    <w:rsid w:val="00555FD4"/>
    <w:rsid w:val="005577C8"/>
    <w:rsid w:val="00564217"/>
    <w:rsid w:val="005647DA"/>
    <w:rsid w:val="00565120"/>
    <w:rsid w:val="00566144"/>
    <w:rsid w:val="00566670"/>
    <w:rsid w:val="00567282"/>
    <w:rsid w:val="00571F10"/>
    <w:rsid w:val="00577C22"/>
    <w:rsid w:val="00577EA9"/>
    <w:rsid w:val="00577EE8"/>
    <w:rsid w:val="00581C8A"/>
    <w:rsid w:val="00581FAA"/>
    <w:rsid w:val="00583D04"/>
    <w:rsid w:val="00584C2F"/>
    <w:rsid w:val="00585574"/>
    <w:rsid w:val="005911A9"/>
    <w:rsid w:val="005915C4"/>
    <w:rsid w:val="00591CEF"/>
    <w:rsid w:val="00593B91"/>
    <w:rsid w:val="00594E62"/>
    <w:rsid w:val="0059671D"/>
    <w:rsid w:val="005A1C00"/>
    <w:rsid w:val="005A34F3"/>
    <w:rsid w:val="005A49FC"/>
    <w:rsid w:val="005A50F9"/>
    <w:rsid w:val="005A5867"/>
    <w:rsid w:val="005A6CBA"/>
    <w:rsid w:val="005B085F"/>
    <w:rsid w:val="005C220C"/>
    <w:rsid w:val="005C3A8C"/>
    <w:rsid w:val="005C515A"/>
    <w:rsid w:val="005C7008"/>
    <w:rsid w:val="005D0291"/>
    <w:rsid w:val="005D17CF"/>
    <w:rsid w:val="005D2B4D"/>
    <w:rsid w:val="005D33C4"/>
    <w:rsid w:val="005D4D7C"/>
    <w:rsid w:val="005D510B"/>
    <w:rsid w:val="005D6287"/>
    <w:rsid w:val="005F468D"/>
    <w:rsid w:val="005F7CD0"/>
    <w:rsid w:val="00602640"/>
    <w:rsid w:val="0060419F"/>
    <w:rsid w:val="00607AFC"/>
    <w:rsid w:val="0061783E"/>
    <w:rsid w:val="00624AA6"/>
    <w:rsid w:val="0063499F"/>
    <w:rsid w:val="0064047C"/>
    <w:rsid w:val="006405EF"/>
    <w:rsid w:val="00641169"/>
    <w:rsid w:val="0064353A"/>
    <w:rsid w:val="00643908"/>
    <w:rsid w:val="00651B45"/>
    <w:rsid w:val="00661E57"/>
    <w:rsid w:val="00663F3F"/>
    <w:rsid w:val="00664189"/>
    <w:rsid w:val="00664F0B"/>
    <w:rsid w:val="006666D9"/>
    <w:rsid w:val="00667CD0"/>
    <w:rsid w:val="0068475E"/>
    <w:rsid w:val="0068509A"/>
    <w:rsid w:val="00693047"/>
    <w:rsid w:val="00694F20"/>
    <w:rsid w:val="006A00B0"/>
    <w:rsid w:val="006A0D50"/>
    <w:rsid w:val="006A39AD"/>
    <w:rsid w:val="006A4304"/>
    <w:rsid w:val="006A603E"/>
    <w:rsid w:val="006A608B"/>
    <w:rsid w:val="006B31BA"/>
    <w:rsid w:val="006B3AA4"/>
    <w:rsid w:val="006B640E"/>
    <w:rsid w:val="006C06C6"/>
    <w:rsid w:val="006C4A02"/>
    <w:rsid w:val="006D00BE"/>
    <w:rsid w:val="006D0421"/>
    <w:rsid w:val="006D0E85"/>
    <w:rsid w:val="006D1E3F"/>
    <w:rsid w:val="006D28B9"/>
    <w:rsid w:val="006D3221"/>
    <w:rsid w:val="006D340B"/>
    <w:rsid w:val="006D39F8"/>
    <w:rsid w:val="006D5821"/>
    <w:rsid w:val="006D6A2E"/>
    <w:rsid w:val="006E00B3"/>
    <w:rsid w:val="006E3036"/>
    <w:rsid w:val="006E48E4"/>
    <w:rsid w:val="006E6EF5"/>
    <w:rsid w:val="006E74BA"/>
    <w:rsid w:val="006F15B9"/>
    <w:rsid w:val="006F220D"/>
    <w:rsid w:val="006F3445"/>
    <w:rsid w:val="006F360A"/>
    <w:rsid w:val="006F7733"/>
    <w:rsid w:val="00701023"/>
    <w:rsid w:val="007026BD"/>
    <w:rsid w:val="00703096"/>
    <w:rsid w:val="007056BB"/>
    <w:rsid w:val="007079A3"/>
    <w:rsid w:val="007212F0"/>
    <w:rsid w:val="00721A8B"/>
    <w:rsid w:val="00722B1E"/>
    <w:rsid w:val="0072396D"/>
    <w:rsid w:val="00724676"/>
    <w:rsid w:val="00726A6A"/>
    <w:rsid w:val="00730A69"/>
    <w:rsid w:val="00733268"/>
    <w:rsid w:val="0073402F"/>
    <w:rsid w:val="00734EB2"/>
    <w:rsid w:val="00735D7E"/>
    <w:rsid w:val="007364FB"/>
    <w:rsid w:val="007370E9"/>
    <w:rsid w:val="0073755B"/>
    <w:rsid w:val="00740351"/>
    <w:rsid w:val="00740AA9"/>
    <w:rsid w:val="0074251F"/>
    <w:rsid w:val="00744F90"/>
    <w:rsid w:val="00752627"/>
    <w:rsid w:val="00754776"/>
    <w:rsid w:val="0076198B"/>
    <w:rsid w:val="007740F2"/>
    <w:rsid w:val="007749C0"/>
    <w:rsid w:val="0078174F"/>
    <w:rsid w:val="00782451"/>
    <w:rsid w:val="00783985"/>
    <w:rsid w:val="0078523B"/>
    <w:rsid w:val="00785EF2"/>
    <w:rsid w:val="0079187C"/>
    <w:rsid w:val="00794D3F"/>
    <w:rsid w:val="007952F2"/>
    <w:rsid w:val="007A0CE8"/>
    <w:rsid w:val="007A28DD"/>
    <w:rsid w:val="007A381D"/>
    <w:rsid w:val="007A4D6B"/>
    <w:rsid w:val="007A615C"/>
    <w:rsid w:val="007A6E9D"/>
    <w:rsid w:val="007B0B76"/>
    <w:rsid w:val="007C006B"/>
    <w:rsid w:val="007C1500"/>
    <w:rsid w:val="007C366A"/>
    <w:rsid w:val="007C79D8"/>
    <w:rsid w:val="007C7F80"/>
    <w:rsid w:val="007D0A04"/>
    <w:rsid w:val="007D0F74"/>
    <w:rsid w:val="007D6254"/>
    <w:rsid w:val="007D7C74"/>
    <w:rsid w:val="007E11BC"/>
    <w:rsid w:val="007E3125"/>
    <w:rsid w:val="007E36AB"/>
    <w:rsid w:val="007E71CB"/>
    <w:rsid w:val="007E7EFD"/>
    <w:rsid w:val="007F1885"/>
    <w:rsid w:val="007F2159"/>
    <w:rsid w:val="007F6EE5"/>
    <w:rsid w:val="00813D5F"/>
    <w:rsid w:val="00815ABF"/>
    <w:rsid w:val="00820578"/>
    <w:rsid w:val="00820695"/>
    <w:rsid w:val="00823350"/>
    <w:rsid w:val="008233A0"/>
    <w:rsid w:val="00823EA6"/>
    <w:rsid w:val="008251D9"/>
    <w:rsid w:val="0082587F"/>
    <w:rsid w:val="00831DC1"/>
    <w:rsid w:val="0083286B"/>
    <w:rsid w:val="008349DB"/>
    <w:rsid w:val="00835058"/>
    <w:rsid w:val="00842410"/>
    <w:rsid w:val="00844C07"/>
    <w:rsid w:val="00847FD8"/>
    <w:rsid w:val="008516F4"/>
    <w:rsid w:val="0085205A"/>
    <w:rsid w:val="00852D50"/>
    <w:rsid w:val="00862B05"/>
    <w:rsid w:val="00866DBB"/>
    <w:rsid w:val="00870864"/>
    <w:rsid w:val="00871CC9"/>
    <w:rsid w:val="00873BEF"/>
    <w:rsid w:val="00873CBA"/>
    <w:rsid w:val="00875AE3"/>
    <w:rsid w:val="00882361"/>
    <w:rsid w:val="00883A54"/>
    <w:rsid w:val="00884A2A"/>
    <w:rsid w:val="00886329"/>
    <w:rsid w:val="00887911"/>
    <w:rsid w:val="00890CA6"/>
    <w:rsid w:val="00892F11"/>
    <w:rsid w:val="00895CA3"/>
    <w:rsid w:val="008A2E08"/>
    <w:rsid w:val="008A37A2"/>
    <w:rsid w:val="008A3E87"/>
    <w:rsid w:val="008A78B8"/>
    <w:rsid w:val="008B2762"/>
    <w:rsid w:val="008B2A04"/>
    <w:rsid w:val="008B2A33"/>
    <w:rsid w:val="008B2D50"/>
    <w:rsid w:val="008B44AA"/>
    <w:rsid w:val="008B5E65"/>
    <w:rsid w:val="008C71F6"/>
    <w:rsid w:val="008D1B86"/>
    <w:rsid w:val="008D1BFE"/>
    <w:rsid w:val="008D1F67"/>
    <w:rsid w:val="008D323B"/>
    <w:rsid w:val="008D660B"/>
    <w:rsid w:val="008D6E6C"/>
    <w:rsid w:val="008D7979"/>
    <w:rsid w:val="008E04E1"/>
    <w:rsid w:val="008E3C45"/>
    <w:rsid w:val="008E72E0"/>
    <w:rsid w:val="008E780C"/>
    <w:rsid w:val="008E7DC8"/>
    <w:rsid w:val="008F0C29"/>
    <w:rsid w:val="008F2B9D"/>
    <w:rsid w:val="008F34F3"/>
    <w:rsid w:val="008F59E8"/>
    <w:rsid w:val="008F5D19"/>
    <w:rsid w:val="00901C94"/>
    <w:rsid w:val="00903200"/>
    <w:rsid w:val="00904B18"/>
    <w:rsid w:val="0091483A"/>
    <w:rsid w:val="00915BF5"/>
    <w:rsid w:val="00926CA0"/>
    <w:rsid w:val="009277CF"/>
    <w:rsid w:val="00935891"/>
    <w:rsid w:val="00936225"/>
    <w:rsid w:val="00937421"/>
    <w:rsid w:val="00940EA8"/>
    <w:rsid w:val="0095079B"/>
    <w:rsid w:val="00951016"/>
    <w:rsid w:val="009510A1"/>
    <w:rsid w:val="00954E45"/>
    <w:rsid w:val="009607E7"/>
    <w:rsid w:val="0096314D"/>
    <w:rsid w:val="0096712E"/>
    <w:rsid w:val="00972D5A"/>
    <w:rsid w:val="00974EA7"/>
    <w:rsid w:val="009754FF"/>
    <w:rsid w:val="00975B5D"/>
    <w:rsid w:val="00986D86"/>
    <w:rsid w:val="00992163"/>
    <w:rsid w:val="00994A51"/>
    <w:rsid w:val="00996113"/>
    <w:rsid w:val="009A16FE"/>
    <w:rsid w:val="009A1F86"/>
    <w:rsid w:val="009A4AF4"/>
    <w:rsid w:val="009A712C"/>
    <w:rsid w:val="009B0EC5"/>
    <w:rsid w:val="009B1702"/>
    <w:rsid w:val="009B616D"/>
    <w:rsid w:val="009B62B3"/>
    <w:rsid w:val="009B750B"/>
    <w:rsid w:val="009B7923"/>
    <w:rsid w:val="009C2941"/>
    <w:rsid w:val="009C37C2"/>
    <w:rsid w:val="009C3B1E"/>
    <w:rsid w:val="009C783F"/>
    <w:rsid w:val="009C7D4A"/>
    <w:rsid w:val="009D099B"/>
    <w:rsid w:val="009D0B04"/>
    <w:rsid w:val="009D2070"/>
    <w:rsid w:val="009D283D"/>
    <w:rsid w:val="009D5429"/>
    <w:rsid w:val="009D76BF"/>
    <w:rsid w:val="009E01F9"/>
    <w:rsid w:val="009E395F"/>
    <w:rsid w:val="009E682F"/>
    <w:rsid w:val="009E7409"/>
    <w:rsid w:val="009F0249"/>
    <w:rsid w:val="009F241F"/>
    <w:rsid w:val="009F253A"/>
    <w:rsid w:val="009F387F"/>
    <w:rsid w:val="009F5581"/>
    <w:rsid w:val="00A0066E"/>
    <w:rsid w:val="00A00EF8"/>
    <w:rsid w:val="00A01240"/>
    <w:rsid w:val="00A03FD1"/>
    <w:rsid w:val="00A04977"/>
    <w:rsid w:val="00A050A7"/>
    <w:rsid w:val="00A05A4C"/>
    <w:rsid w:val="00A12CBA"/>
    <w:rsid w:val="00A15429"/>
    <w:rsid w:val="00A15746"/>
    <w:rsid w:val="00A30D45"/>
    <w:rsid w:val="00A354FC"/>
    <w:rsid w:val="00A3658C"/>
    <w:rsid w:val="00A37333"/>
    <w:rsid w:val="00A37BEA"/>
    <w:rsid w:val="00A40AAA"/>
    <w:rsid w:val="00A4162C"/>
    <w:rsid w:val="00A424F5"/>
    <w:rsid w:val="00A43C4B"/>
    <w:rsid w:val="00A44F1A"/>
    <w:rsid w:val="00A47BEA"/>
    <w:rsid w:val="00A50138"/>
    <w:rsid w:val="00A50B8D"/>
    <w:rsid w:val="00A54A91"/>
    <w:rsid w:val="00A55F23"/>
    <w:rsid w:val="00A73257"/>
    <w:rsid w:val="00A74C63"/>
    <w:rsid w:val="00A75347"/>
    <w:rsid w:val="00A804C4"/>
    <w:rsid w:val="00A82D03"/>
    <w:rsid w:val="00A902BA"/>
    <w:rsid w:val="00A908A8"/>
    <w:rsid w:val="00A9102A"/>
    <w:rsid w:val="00A910C2"/>
    <w:rsid w:val="00A929B4"/>
    <w:rsid w:val="00A932AF"/>
    <w:rsid w:val="00A94DD5"/>
    <w:rsid w:val="00A964CD"/>
    <w:rsid w:val="00A96A7D"/>
    <w:rsid w:val="00A96D51"/>
    <w:rsid w:val="00AA422F"/>
    <w:rsid w:val="00AA5E09"/>
    <w:rsid w:val="00AB1678"/>
    <w:rsid w:val="00AB28BB"/>
    <w:rsid w:val="00AB57BB"/>
    <w:rsid w:val="00AC010E"/>
    <w:rsid w:val="00AC2D54"/>
    <w:rsid w:val="00AC4A7E"/>
    <w:rsid w:val="00AC521A"/>
    <w:rsid w:val="00AC58B3"/>
    <w:rsid w:val="00AC75BF"/>
    <w:rsid w:val="00AD14A1"/>
    <w:rsid w:val="00AD15A1"/>
    <w:rsid w:val="00AD1B07"/>
    <w:rsid w:val="00AD1FF6"/>
    <w:rsid w:val="00AD6FC6"/>
    <w:rsid w:val="00AE099F"/>
    <w:rsid w:val="00AE27AC"/>
    <w:rsid w:val="00AE3DD9"/>
    <w:rsid w:val="00AE6450"/>
    <w:rsid w:val="00AE6E2A"/>
    <w:rsid w:val="00AF05B8"/>
    <w:rsid w:val="00AF1555"/>
    <w:rsid w:val="00AF1E22"/>
    <w:rsid w:val="00AF1F2E"/>
    <w:rsid w:val="00AF20CF"/>
    <w:rsid w:val="00AF3EDC"/>
    <w:rsid w:val="00AF5019"/>
    <w:rsid w:val="00AF5722"/>
    <w:rsid w:val="00AF5A55"/>
    <w:rsid w:val="00B051D5"/>
    <w:rsid w:val="00B05B9A"/>
    <w:rsid w:val="00B05C0D"/>
    <w:rsid w:val="00B060A8"/>
    <w:rsid w:val="00B1045C"/>
    <w:rsid w:val="00B1048A"/>
    <w:rsid w:val="00B11D5A"/>
    <w:rsid w:val="00B12405"/>
    <w:rsid w:val="00B132E4"/>
    <w:rsid w:val="00B203DB"/>
    <w:rsid w:val="00B222B6"/>
    <w:rsid w:val="00B222F4"/>
    <w:rsid w:val="00B22A6E"/>
    <w:rsid w:val="00B2339F"/>
    <w:rsid w:val="00B237C2"/>
    <w:rsid w:val="00B26168"/>
    <w:rsid w:val="00B3040B"/>
    <w:rsid w:val="00B31C55"/>
    <w:rsid w:val="00B33AD9"/>
    <w:rsid w:val="00B36538"/>
    <w:rsid w:val="00B46781"/>
    <w:rsid w:val="00B50419"/>
    <w:rsid w:val="00B51579"/>
    <w:rsid w:val="00B542C8"/>
    <w:rsid w:val="00B54716"/>
    <w:rsid w:val="00B601C5"/>
    <w:rsid w:val="00B60480"/>
    <w:rsid w:val="00B62891"/>
    <w:rsid w:val="00B63A89"/>
    <w:rsid w:val="00B63FB2"/>
    <w:rsid w:val="00B70E03"/>
    <w:rsid w:val="00B73C2D"/>
    <w:rsid w:val="00B81930"/>
    <w:rsid w:val="00B855AA"/>
    <w:rsid w:val="00B8620B"/>
    <w:rsid w:val="00B87169"/>
    <w:rsid w:val="00B8716D"/>
    <w:rsid w:val="00B90E73"/>
    <w:rsid w:val="00B95371"/>
    <w:rsid w:val="00BA06AD"/>
    <w:rsid w:val="00BA0A51"/>
    <w:rsid w:val="00BA1787"/>
    <w:rsid w:val="00BB2ED1"/>
    <w:rsid w:val="00BB3436"/>
    <w:rsid w:val="00BB364A"/>
    <w:rsid w:val="00BB6858"/>
    <w:rsid w:val="00BB73AE"/>
    <w:rsid w:val="00BC1461"/>
    <w:rsid w:val="00BC2521"/>
    <w:rsid w:val="00BC3567"/>
    <w:rsid w:val="00BC3598"/>
    <w:rsid w:val="00BC42D3"/>
    <w:rsid w:val="00BC57F5"/>
    <w:rsid w:val="00BC6938"/>
    <w:rsid w:val="00BC6E68"/>
    <w:rsid w:val="00BD1FE5"/>
    <w:rsid w:val="00BD528C"/>
    <w:rsid w:val="00BD60F6"/>
    <w:rsid w:val="00BD6D7B"/>
    <w:rsid w:val="00BD775B"/>
    <w:rsid w:val="00BE4F38"/>
    <w:rsid w:val="00BE7777"/>
    <w:rsid w:val="00BF197F"/>
    <w:rsid w:val="00BF38EC"/>
    <w:rsid w:val="00BF3FC4"/>
    <w:rsid w:val="00C03B5A"/>
    <w:rsid w:val="00C05B1C"/>
    <w:rsid w:val="00C0767A"/>
    <w:rsid w:val="00C1059A"/>
    <w:rsid w:val="00C1092B"/>
    <w:rsid w:val="00C11FA5"/>
    <w:rsid w:val="00C13422"/>
    <w:rsid w:val="00C150BB"/>
    <w:rsid w:val="00C17D70"/>
    <w:rsid w:val="00C20D09"/>
    <w:rsid w:val="00C235B7"/>
    <w:rsid w:val="00C25DC6"/>
    <w:rsid w:val="00C3227B"/>
    <w:rsid w:val="00C369C3"/>
    <w:rsid w:val="00C3790C"/>
    <w:rsid w:val="00C42AA1"/>
    <w:rsid w:val="00C45832"/>
    <w:rsid w:val="00C46F22"/>
    <w:rsid w:val="00C46FA9"/>
    <w:rsid w:val="00C542F1"/>
    <w:rsid w:val="00C56714"/>
    <w:rsid w:val="00C6059F"/>
    <w:rsid w:val="00C61DFB"/>
    <w:rsid w:val="00C63954"/>
    <w:rsid w:val="00C66D00"/>
    <w:rsid w:val="00C72E5C"/>
    <w:rsid w:val="00C74911"/>
    <w:rsid w:val="00C76558"/>
    <w:rsid w:val="00C77261"/>
    <w:rsid w:val="00C85880"/>
    <w:rsid w:val="00C85FF7"/>
    <w:rsid w:val="00C86B0D"/>
    <w:rsid w:val="00C91B4E"/>
    <w:rsid w:val="00C947DA"/>
    <w:rsid w:val="00C95644"/>
    <w:rsid w:val="00C97BB0"/>
    <w:rsid w:val="00CA1C5C"/>
    <w:rsid w:val="00CA340E"/>
    <w:rsid w:val="00CA3F4E"/>
    <w:rsid w:val="00CA64FE"/>
    <w:rsid w:val="00CA7518"/>
    <w:rsid w:val="00CB02AE"/>
    <w:rsid w:val="00CB072C"/>
    <w:rsid w:val="00CB3D1C"/>
    <w:rsid w:val="00CB4B6C"/>
    <w:rsid w:val="00CB78D1"/>
    <w:rsid w:val="00CB78F8"/>
    <w:rsid w:val="00CC10F2"/>
    <w:rsid w:val="00CC28C9"/>
    <w:rsid w:val="00CC4BB6"/>
    <w:rsid w:val="00CC5B58"/>
    <w:rsid w:val="00CC6B7D"/>
    <w:rsid w:val="00CD0F43"/>
    <w:rsid w:val="00CD258A"/>
    <w:rsid w:val="00CD32D5"/>
    <w:rsid w:val="00CD4071"/>
    <w:rsid w:val="00CD7E0C"/>
    <w:rsid w:val="00CE0545"/>
    <w:rsid w:val="00CE54E0"/>
    <w:rsid w:val="00CE55A6"/>
    <w:rsid w:val="00CF1B3F"/>
    <w:rsid w:val="00CF6021"/>
    <w:rsid w:val="00D01E8C"/>
    <w:rsid w:val="00D05DB4"/>
    <w:rsid w:val="00D12A93"/>
    <w:rsid w:val="00D20E39"/>
    <w:rsid w:val="00D2180A"/>
    <w:rsid w:val="00D21F5A"/>
    <w:rsid w:val="00D25730"/>
    <w:rsid w:val="00D25CD6"/>
    <w:rsid w:val="00D2650D"/>
    <w:rsid w:val="00D275AC"/>
    <w:rsid w:val="00D3431F"/>
    <w:rsid w:val="00D414CE"/>
    <w:rsid w:val="00D41D77"/>
    <w:rsid w:val="00D42526"/>
    <w:rsid w:val="00D4600E"/>
    <w:rsid w:val="00D46AD9"/>
    <w:rsid w:val="00D4744D"/>
    <w:rsid w:val="00D479A9"/>
    <w:rsid w:val="00D5001C"/>
    <w:rsid w:val="00D52355"/>
    <w:rsid w:val="00D57CA1"/>
    <w:rsid w:val="00D66B53"/>
    <w:rsid w:val="00D67BE5"/>
    <w:rsid w:val="00D7038D"/>
    <w:rsid w:val="00D70A12"/>
    <w:rsid w:val="00D70E2A"/>
    <w:rsid w:val="00D71B21"/>
    <w:rsid w:val="00D7592A"/>
    <w:rsid w:val="00D762C7"/>
    <w:rsid w:val="00D775B1"/>
    <w:rsid w:val="00D81B6F"/>
    <w:rsid w:val="00D84C9D"/>
    <w:rsid w:val="00D96162"/>
    <w:rsid w:val="00DA71F0"/>
    <w:rsid w:val="00DA7CF4"/>
    <w:rsid w:val="00DB173E"/>
    <w:rsid w:val="00DB1E69"/>
    <w:rsid w:val="00DB1F0B"/>
    <w:rsid w:val="00DB2329"/>
    <w:rsid w:val="00DB76F8"/>
    <w:rsid w:val="00DC1184"/>
    <w:rsid w:val="00DC150E"/>
    <w:rsid w:val="00DC40C6"/>
    <w:rsid w:val="00DC5E52"/>
    <w:rsid w:val="00DC72B2"/>
    <w:rsid w:val="00DD3665"/>
    <w:rsid w:val="00DE36F6"/>
    <w:rsid w:val="00DE3830"/>
    <w:rsid w:val="00DE5C88"/>
    <w:rsid w:val="00DE70A2"/>
    <w:rsid w:val="00DE76B0"/>
    <w:rsid w:val="00DE7BD9"/>
    <w:rsid w:val="00DF17A6"/>
    <w:rsid w:val="00DF356E"/>
    <w:rsid w:val="00DF5B33"/>
    <w:rsid w:val="00DF5CF4"/>
    <w:rsid w:val="00DF6804"/>
    <w:rsid w:val="00E10EF3"/>
    <w:rsid w:val="00E10FA8"/>
    <w:rsid w:val="00E111EE"/>
    <w:rsid w:val="00E338A4"/>
    <w:rsid w:val="00E35D7D"/>
    <w:rsid w:val="00E4044B"/>
    <w:rsid w:val="00E41078"/>
    <w:rsid w:val="00E41928"/>
    <w:rsid w:val="00E42EEC"/>
    <w:rsid w:val="00E44075"/>
    <w:rsid w:val="00E4445A"/>
    <w:rsid w:val="00E44745"/>
    <w:rsid w:val="00E44F97"/>
    <w:rsid w:val="00E466EE"/>
    <w:rsid w:val="00E47E5D"/>
    <w:rsid w:val="00E50715"/>
    <w:rsid w:val="00E50DC9"/>
    <w:rsid w:val="00E66687"/>
    <w:rsid w:val="00E70222"/>
    <w:rsid w:val="00E72262"/>
    <w:rsid w:val="00E7251C"/>
    <w:rsid w:val="00E73244"/>
    <w:rsid w:val="00E74CB6"/>
    <w:rsid w:val="00E77251"/>
    <w:rsid w:val="00E826AB"/>
    <w:rsid w:val="00E90AD3"/>
    <w:rsid w:val="00E922D2"/>
    <w:rsid w:val="00E95BCD"/>
    <w:rsid w:val="00E97695"/>
    <w:rsid w:val="00EA2461"/>
    <w:rsid w:val="00EA5D91"/>
    <w:rsid w:val="00EA6B8A"/>
    <w:rsid w:val="00EA6FA8"/>
    <w:rsid w:val="00EB1044"/>
    <w:rsid w:val="00EB4DAC"/>
    <w:rsid w:val="00EB5F7A"/>
    <w:rsid w:val="00EB7CD9"/>
    <w:rsid w:val="00EC3EB2"/>
    <w:rsid w:val="00ED247A"/>
    <w:rsid w:val="00ED33B4"/>
    <w:rsid w:val="00ED5322"/>
    <w:rsid w:val="00ED7EDE"/>
    <w:rsid w:val="00EE1191"/>
    <w:rsid w:val="00EE1D05"/>
    <w:rsid w:val="00EE7CDD"/>
    <w:rsid w:val="00EF009E"/>
    <w:rsid w:val="00EF192E"/>
    <w:rsid w:val="00EF51AB"/>
    <w:rsid w:val="00EF6894"/>
    <w:rsid w:val="00F00ED8"/>
    <w:rsid w:val="00F018D1"/>
    <w:rsid w:val="00F077C4"/>
    <w:rsid w:val="00F10C2E"/>
    <w:rsid w:val="00F11DB4"/>
    <w:rsid w:val="00F1206E"/>
    <w:rsid w:val="00F127B4"/>
    <w:rsid w:val="00F14D97"/>
    <w:rsid w:val="00F153B2"/>
    <w:rsid w:val="00F1723C"/>
    <w:rsid w:val="00F1765D"/>
    <w:rsid w:val="00F2054F"/>
    <w:rsid w:val="00F22742"/>
    <w:rsid w:val="00F22802"/>
    <w:rsid w:val="00F2397A"/>
    <w:rsid w:val="00F2593A"/>
    <w:rsid w:val="00F3105C"/>
    <w:rsid w:val="00F3372B"/>
    <w:rsid w:val="00F37FAA"/>
    <w:rsid w:val="00F4058C"/>
    <w:rsid w:val="00F405D1"/>
    <w:rsid w:val="00F41C9D"/>
    <w:rsid w:val="00F45FBE"/>
    <w:rsid w:val="00F469E2"/>
    <w:rsid w:val="00F46A48"/>
    <w:rsid w:val="00F479BB"/>
    <w:rsid w:val="00F47CFC"/>
    <w:rsid w:val="00F50AE6"/>
    <w:rsid w:val="00F5317D"/>
    <w:rsid w:val="00F53C9E"/>
    <w:rsid w:val="00F55F91"/>
    <w:rsid w:val="00F5687C"/>
    <w:rsid w:val="00F60D30"/>
    <w:rsid w:val="00F60F35"/>
    <w:rsid w:val="00F61659"/>
    <w:rsid w:val="00F61F2F"/>
    <w:rsid w:val="00F625EC"/>
    <w:rsid w:val="00F65291"/>
    <w:rsid w:val="00F65B40"/>
    <w:rsid w:val="00F7082B"/>
    <w:rsid w:val="00F70986"/>
    <w:rsid w:val="00F717C8"/>
    <w:rsid w:val="00F7224F"/>
    <w:rsid w:val="00F74CF5"/>
    <w:rsid w:val="00F76695"/>
    <w:rsid w:val="00F8046A"/>
    <w:rsid w:val="00F80653"/>
    <w:rsid w:val="00F808BD"/>
    <w:rsid w:val="00F80F87"/>
    <w:rsid w:val="00F83388"/>
    <w:rsid w:val="00F84AC8"/>
    <w:rsid w:val="00F867B1"/>
    <w:rsid w:val="00F86B00"/>
    <w:rsid w:val="00F901CB"/>
    <w:rsid w:val="00F92F80"/>
    <w:rsid w:val="00F938F0"/>
    <w:rsid w:val="00F94E35"/>
    <w:rsid w:val="00F95030"/>
    <w:rsid w:val="00F956C7"/>
    <w:rsid w:val="00F95728"/>
    <w:rsid w:val="00F961E1"/>
    <w:rsid w:val="00FA13DB"/>
    <w:rsid w:val="00FA23B2"/>
    <w:rsid w:val="00FB24DB"/>
    <w:rsid w:val="00FB5C20"/>
    <w:rsid w:val="00FC0755"/>
    <w:rsid w:val="00FC12BB"/>
    <w:rsid w:val="00FC22A2"/>
    <w:rsid w:val="00FC2319"/>
    <w:rsid w:val="00FC31CA"/>
    <w:rsid w:val="00FC4DD6"/>
    <w:rsid w:val="00FC63FC"/>
    <w:rsid w:val="00FC7C3B"/>
    <w:rsid w:val="00FD02E9"/>
    <w:rsid w:val="00FD1812"/>
    <w:rsid w:val="00FD284D"/>
    <w:rsid w:val="00FD29DB"/>
    <w:rsid w:val="00FD52BB"/>
    <w:rsid w:val="00FE3195"/>
    <w:rsid w:val="00FE5293"/>
    <w:rsid w:val="00FE6959"/>
    <w:rsid w:val="00FF0ABC"/>
    <w:rsid w:val="00FF19C8"/>
    <w:rsid w:val="00FF2AE0"/>
    <w:rsid w:val="00FF3B13"/>
    <w:rsid w:val="00FF5072"/>
    <w:rsid w:val="00FF5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docId w15:val="{3A9EBDB6-A4DC-4879-B8E8-9E32E0D9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80D"/>
  </w:style>
  <w:style w:type="paragraph" w:styleId="Heading1">
    <w:name w:val="heading 1"/>
    <w:basedOn w:val="Normal"/>
    <w:next w:val="Normal"/>
    <w:link w:val="Heading1Char"/>
    <w:uiPriority w:val="9"/>
    <w:qFormat/>
    <w:rsid w:val="0047680D"/>
    <w:pPr>
      <w:pBdr>
        <w:top w:val="single" w:sz="24" w:space="0" w:color="0F6FC6" w:themeColor="accent1"/>
        <w:left w:val="single" w:sz="24" w:space="0" w:color="0F6FC6" w:themeColor="accent1"/>
        <w:bottom w:val="single" w:sz="24" w:space="0" w:color="0F6FC6" w:themeColor="accent1"/>
        <w:right w:val="single" w:sz="24" w:space="0" w:color="0F6FC6" w:themeColor="accent1"/>
      </w:pBdr>
      <w:shd w:val="clear" w:color="auto" w:fill="0F6FC6"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47680D"/>
    <w:pPr>
      <w:pBdr>
        <w:top w:val="single" w:sz="24" w:space="0" w:color="C7E2FA" w:themeColor="accent1" w:themeTint="33"/>
        <w:left w:val="single" w:sz="24" w:space="0" w:color="C7E2FA" w:themeColor="accent1" w:themeTint="33"/>
        <w:bottom w:val="single" w:sz="24" w:space="0" w:color="C7E2FA" w:themeColor="accent1" w:themeTint="33"/>
        <w:right w:val="single" w:sz="24" w:space="0" w:color="C7E2FA" w:themeColor="accent1" w:themeTint="33"/>
      </w:pBdr>
      <w:shd w:val="clear" w:color="auto" w:fill="C7E2FA"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47680D"/>
    <w:pPr>
      <w:pBdr>
        <w:top w:val="single" w:sz="6" w:space="2" w:color="0F6FC6" w:themeColor="accent1"/>
      </w:pBdr>
      <w:spacing w:before="300" w:after="0"/>
      <w:outlineLvl w:val="2"/>
    </w:pPr>
    <w:rPr>
      <w:caps/>
      <w:color w:val="073662" w:themeColor="accent1" w:themeShade="7F"/>
      <w:spacing w:val="15"/>
    </w:rPr>
  </w:style>
  <w:style w:type="paragraph" w:styleId="Heading4">
    <w:name w:val="heading 4"/>
    <w:basedOn w:val="Normal"/>
    <w:next w:val="Normal"/>
    <w:link w:val="Heading4Char"/>
    <w:uiPriority w:val="9"/>
    <w:semiHidden/>
    <w:unhideWhenUsed/>
    <w:qFormat/>
    <w:rsid w:val="0047680D"/>
    <w:pPr>
      <w:pBdr>
        <w:top w:val="dotted" w:sz="6" w:space="2" w:color="0F6FC6" w:themeColor="accent1"/>
      </w:pBdr>
      <w:spacing w:before="200" w:after="0"/>
      <w:outlineLvl w:val="3"/>
    </w:pPr>
    <w:rPr>
      <w:caps/>
      <w:color w:val="0B5294" w:themeColor="accent1" w:themeShade="BF"/>
      <w:spacing w:val="10"/>
    </w:rPr>
  </w:style>
  <w:style w:type="paragraph" w:styleId="Heading5">
    <w:name w:val="heading 5"/>
    <w:basedOn w:val="Normal"/>
    <w:next w:val="Normal"/>
    <w:link w:val="Heading5Char"/>
    <w:uiPriority w:val="9"/>
    <w:semiHidden/>
    <w:unhideWhenUsed/>
    <w:qFormat/>
    <w:rsid w:val="0047680D"/>
    <w:pPr>
      <w:pBdr>
        <w:bottom w:val="single" w:sz="6" w:space="1" w:color="0F6FC6" w:themeColor="accent1"/>
      </w:pBdr>
      <w:spacing w:before="200" w:after="0"/>
      <w:outlineLvl w:val="4"/>
    </w:pPr>
    <w:rPr>
      <w:caps/>
      <w:color w:val="0B5294" w:themeColor="accent1" w:themeShade="BF"/>
      <w:spacing w:val="10"/>
    </w:rPr>
  </w:style>
  <w:style w:type="paragraph" w:styleId="Heading6">
    <w:name w:val="heading 6"/>
    <w:basedOn w:val="Normal"/>
    <w:next w:val="Normal"/>
    <w:link w:val="Heading6Char"/>
    <w:uiPriority w:val="9"/>
    <w:semiHidden/>
    <w:unhideWhenUsed/>
    <w:qFormat/>
    <w:rsid w:val="0047680D"/>
    <w:pPr>
      <w:pBdr>
        <w:bottom w:val="dotted" w:sz="6" w:space="1" w:color="0F6FC6" w:themeColor="accent1"/>
      </w:pBdr>
      <w:spacing w:before="200" w:after="0"/>
      <w:outlineLvl w:val="5"/>
    </w:pPr>
    <w:rPr>
      <w:caps/>
      <w:color w:val="0B5294" w:themeColor="accent1" w:themeShade="BF"/>
      <w:spacing w:val="10"/>
    </w:rPr>
  </w:style>
  <w:style w:type="paragraph" w:styleId="Heading7">
    <w:name w:val="heading 7"/>
    <w:basedOn w:val="Normal"/>
    <w:next w:val="Normal"/>
    <w:link w:val="Heading7Char"/>
    <w:uiPriority w:val="9"/>
    <w:semiHidden/>
    <w:unhideWhenUsed/>
    <w:qFormat/>
    <w:rsid w:val="0047680D"/>
    <w:pPr>
      <w:spacing w:before="200" w:after="0"/>
      <w:outlineLvl w:val="6"/>
    </w:pPr>
    <w:rPr>
      <w:caps/>
      <w:color w:val="0B5294" w:themeColor="accent1" w:themeShade="BF"/>
      <w:spacing w:val="10"/>
    </w:rPr>
  </w:style>
  <w:style w:type="paragraph" w:styleId="Heading8">
    <w:name w:val="heading 8"/>
    <w:basedOn w:val="Normal"/>
    <w:next w:val="Normal"/>
    <w:link w:val="Heading8Char"/>
    <w:uiPriority w:val="9"/>
    <w:semiHidden/>
    <w:unhideWhenUsed/>
    <w:qFormat/>
    <w:rsid w:val="0047680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47680D"/>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7680D"/>
    <w:pPr>
      <w:spacing w:after="0" w:line="240" w:lineRule="auto"/>
    </w:pPr>
  </w:style>
  <w:style w:type="paragraph" w:styleId="BalloonText">
    <w:name w:val="Balloon Text"/>
    <w:basedOn w:val="Normal"/>
    <w:link w:val="BalloonTextChar"/>
    <w:uiPriority w:val="99"/>
    <w:semiHidden/>
    <w:unhideWhenUsed/>
    <w:rsid w:val="00C542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42F1"/>
    <w:rPr>
      <w:rFonts w:ascii="Tahoma" w:hAnsi="Tahoma" w:cs="Tahoma"/>
      <w:sz w:val="16"/>
      <w:szCs w:val="16"/>
    </w:rPr>
  </w:style>
  <w:style w:type="table" w:styleId="TableGrid">
    <w:name w:val="Table Grid"/>
    <w:basedOn w:val="TableNormal"/>
    <w:uiPriority w:val="59"/>
    <w:rsid w:val="00C5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218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1859"/>
  </w:style>
  <w:style w:type="paragraph" w:styleId="Footer">
    <w:name w:val="footer"/>
    <w:basedOn w:val="Normal"/>
    <w:link w:val="FooterChar"/>
    <w:uiPriority w:val="99"/>
    <w:unhideWhenUsed/>
    <w:rsid w:val="001218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1859"/>
  </w:style>
  <w:style w:type="character" w:styleId="Hyperlink">
    <w:name w:val="Hyperlink"/>
    <w:basedOn w:val="DefaultParagraphFont"/>
    <w:uiPriority w:val="99"/>
    <w:unhideWhenUsed/>
    <w:rsid w:val="00E111EE"/>
    <w:rPr>
      <w:color w:val="F49100" w:themeColor="hyperlink"/>
      <w:u w:val="single"/>
    </w:rPr>
  </w:style>
  <w:style w:type="character" w:customStyle="1" w:styleId="Heading1Char">
    <w:name w:val="Heading 1 Char"/>
    <w:basedOn w:val="DefaultParagraphFont"/>
    <w:link w:val="Heading1"/>
    <w:uiPriority w:val="9"/>
    <w:rsid w:val="0047680D"/>
    <w:rPr>
      <w:caps/>
      <w:color w:val="FFFFFF" w:themeColor="background1"/>
      <w:spacing w:val="15"/>
      <w:sz w:val="22"/>
      <w:szCs w:val="22"/>
      <w:shd w:val="clear" w:color="auto" w:fill="0F6FC6" w:themeFill="accent1"/>
    </w:rPr>
  </w:style>
  <w:style w:type="character" w:customStyle="1" w:styleId="Heading2Char">
    <w:name w:val="Heading 2 Char"/>
    <w:basedOn w:val="DefaultParagraphFont"/>
    <w:link w:val="Heading2"/>
    <w:uiPriority w:val="9"/>
    <w:rsid w:val="0047680D"/>
    <w:rPr>
      <w:caps/>
      <w:spacing w:val="15"/>
      <w:shd w:val="clear" w:color="auto" w:fill="C7E2FA" w:themeFill="accent1" w:themeFillTint="33"/>
    </w:rPr>
  </w:style>
  <w:style w:type="character" w:customStyle="1" w:styleId="Heading3Char">
    <w:name w:val="Heading 3 Char"/>
    <w:basedOn w:val="DefaultParagraphFont"/>
    <w:link w:val="Heading3"/>
    <w:uiPriority w:val="9"/>
    <w:rsid w:val="0047680D"/>
    <w:rPr>
      <w:caps/>
      <w:color w:val="073662" w:themeColor="accent1" w:themeShade="7F"/>
      <w:spacing w:val="15"/>
    </w:rPr>
  </w:style>
  <w:style w:type="character" w:customStyle="1" w:styleId="Heading4Char">
    <w:name w:val="Heading 4 Char"/>
    <w:basedOn w:val="DefaultParagraphFont"/>
    <w:link w:val="Heading4"/>
    <w:uiPriority w:val="9"/>
    <w:semiHidden/>
    <w:rsid w:val="0047680D"/>
    <w:rPr>
      <w:caps/>
      <w:color w:val="0B5294" w:themeColor="accent1" w:themeShade="BF"/>
      <w:spacing w:val="10"/>
    </w:rPr>
  </w:style>
  <w:style w:type="character" w:customStyle="1" w:styleId="Heading5Char">
    <w:name w:val="Heading 5 Char"/>
    <w:basedOn w:val="DefaultParagraphFont"/>
    <w:link w:val="Heading5"/>
    <w:uiPriority w:val="9"/>
    <w:semiHidden/>
    <w:rsid w:val="0047680D"/>
    <w:rPr>
      <w:caps/>
      <w:color w:val="0B5294" w:themeColor="accent1" w:themeShade="BF"/>
      <w:spacing w:val="10"/>
    </w:rPr>
  </w:style>
  <w:style w:type="character" w:customStyle="1" w:styleId="Heading6Char">
    <w:name w:val="Heading 6 Char"/>
    <w:basedOn w:val="DefaultParagraphFont"/>
    <w:link w:val="Heading6"/>
    <w:uiPriority w:val="9"/>
    <w:semiHidden/>
    <w:rsid w:val="0047680D"/>
    <w:rPr>
      <w:caps/>
      <w:color w:val="0B5294" w:themeColor="accent1" w:themeShade="BF"/>
      <w:spacing w:val="10"/>
    </w:rPr>
  </w:style>
  <w:style w:type="character" w:customStyle="1" w:styleId="Heading7Char">
    <w:name w:val="Heading 7 Char"/>
    <w:basedOn w:val="DefaultParagraphFont"/>
    <w:link w:val="Heading7"/>
    <w:uiPriority w:val="9"/>
    <w:semiHidden/>
    <w:rsid w:val="0047680D"/>
    <w:rPr>
      <w:caps/>
      <w:color w:val="0B5294" w:themeColor="accent1" w:themeShade="BF"/>
      <w:spacing w:val="10"/>
    </w:rPr>
  </w:style>
  <w:style w:type="character" w:customStyle="1" w:styleId="Heading8Char">
    <w:name w:val="Heading 8 Char"/>
    <w:basedOn w:val="DefaultParagraphFont"/>
    <w:link w:val="Heading8"/>
    <w:uiPriority w:val="9"/>
    <w:semiHidden/>
    <w:rsid w:val="0047680D"/>
    <w:rPr>
      <w:caps/>
      <w:spacing w:val="10"/>
      <w:sz w:val="18"/>
      <w:szCs w:val="18"/>
    </w:rPr>
  </w:style>
  <w:style w:type="character" w:customStyle="1" w:styleId="Heading9Char">
    <w:name w:val="Heading 9 Char"/>
    <w:basedOn w:val="DefaultParagraphFont"/>
    <w:link w:val="Heading9"/>
    <w:uiPriority w:val="9"/>
    <w:semiHidden/>
    <w:rsid w:val="0047680D"/>
    <w:rPr>
      <w:i/>
      <w:iCs/>
      <w:caps/>
      <w:spacing w:val="10"/>
      <w:sz w:val="18"/>
      <w:szCs w:val="18"/>
    </w:rPr>
  </w:style>
  <w:style w:type="paragraph" w:styleId="Caption">
    <w:name w:val="caption"/>
    <w:basedOn w:val="Normal"/>
    <w:next w:val="Normal"/>
    <w:uiPriority w:val="35"/>
    <w:semiHidden/>
    <w:unhideWhenUsed/>
    <w:qFormat/>
    <w:rsid w:val="0047680D"/>
    <w:rPr>
      <w:b/>
      <w:bCs/>
      <w:color w:val="0B5294" w:themeColor="accent1" w:themeShade="BF"/>
      <w:sz w:val="16"/>
      <w:szCs w:val="16"/>
    </w:rPr>
  </w:style>
  <w:style w:type="paragraph" w:styleId="Title">
    <w:name w:val="Title"/>
    <w:basedOn w:val="Normal"/>
    <w:next w:val="Normal"/>
    <w:link w:val="TitleChar"/>
    <w:uiPriority w:val="10"/>
    <w:qFormat/>
    <w:rsid w:val="0047680D"/>
    <w:pPr>
      <w:spacing w:before="0" w:after="0"/>
    </w:pPr>
    <w:rPr>
      <w:rFonts w:asciiTheme="majorHAnsi" w:eastAsiaTheme="majorEastAsia" w:hAnsiTheme="majorHAnsi" w:cstheme="majorBidi"/>
      <w:caps/>
      <w:color w:val="0F6FC6" w:themeColor="accent1"/>
      <w:spacing w:val="10"/>
      <w:sz w:val="52"/>
      <w:szCs w:val="52"/>
    </w:rPr>
  </w:style>
  <w:style w:type="character" w:customStyle="1" w:styleId="TitleChar">
    <w:name w:val="Title Char"/>
    <w:basedOn w:val="DefaultParagraphFont"/>
    <w:link w:val="Title"/>
    <w:uiPriority w:val="10"/>
    <w:rsid w:val="0047680D"/>
    <w:rPr>
      <w:rFonts w:asciiTheme="majorHAnsi" w:eastAsiaTheme="majorEastAsia" w:hAnsiTheme="majorHAnsi" w:cstheme="majorBidi"/>
      <w:caps/>
      <w:color w:val="0F6FC6" w:themeColor="accent1"/>
      <w:spacing w:val="10"/>
      <w:sz w:val="52"/>
      <w:szCs w:val="52"/>
    </w:rPr>
  </w:style>
  <w:style w:type="paragraph" w:styleId="Subtitle">
    <w:name w:val="Subtitle"/>
    <w:basedOn w:val="Normal"/>
    <w:next w:val="Normal"/>
    <w:link w:val="SubtitleChar"/>
    <w:uiPriority w:val="11"/>
    <w:qFormat/>
    <w:rsid w:val="0047680D"/>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47680D"/>
    <w:rPr>
      <w:caps/>
      <w:color w:val="595959" w:themeColor="text1" w:themeTint="A6"/>
      <w:spacing w:val="10"/>
      <w:sz w:val="21"/>
      <w:szCs w:val="21"/>
    </w:rPr>
  </w:style>
  <w:style w:type="character" w:styleId="Strong">
    <w:name w:val="Strong"/>
    <w:uiPriority w:val="22"/>
    <w:qFormat/>
    <w:rsid w:val="0047680D"/>
    <w:rPr>
      <w:b/>
      <w:bCs/>
    </w:rPr>
  </w:style>
  <w:style w:type="character" w:styleId="Emphasis">
    <w:name w:val="Emphasis"/>
    <w:uiPriority w:val="20"/>
    <w:qFormat/>
    <w:rsid w:val="0047680D"/>
    <w:rPr>
      <w:caps/>
      <w:color w:val="073662" w:themeColor="accent1" w:themeShade="7F"/>
      <w:spacing w:val="5"/>
    </w:rPr>
  </w:style>
  <w:style w:type="paragraph" w:styleId="Quote">
    <w:name w:val="Quote"/>
    <w:basedOn w:val="Normal"/>
    <w:next w:val="Normal"/>
    <w:link w:val="QuoteChar"/>
    <w:uiPriority w:val="29"/>
    <w:qFormat/>
    <w:rsid w:val="0047680D"/>
    <w:rPr>
      <w:i/>
      <w:iCs/>
      <w:sz w:val="24"/>
      <w:szCs w:val="24"/>
    </w:rPr>
  </w:style>
  <w:style w:type="character" w:customStyle="1" w:styleId="QuoteChar">
    <w:name w:val="Quote Char"/>
    <w:basedOn w:val="DefaultParagraphFont"/>
    <w:link w:val="Quote"/>
    <w:uiPriority w:val="29"/>
    <w:rsid w:val="0047680D"/>
    <w:rPr>
      <w:i/>
      <w:iCs/>
      <w:sz w:val="24"/>
      <w:szCs w:val="24"/>
    </w:rPr>
  </w:style>
  <w:style w:type="paragraph" w:styleId="IntenseQuote">
    <w:name w:val="Intense Quote"/>
    <w:basedOn w:val="Normal"/>
    <w:next w:val="Normal"/>
    <w:link w:val="IntenseQuoteChar"/>
    <w:uiPriority w:val="30"/>
    <w:qFormat/>
    <w:rsid w:val="0047680D"/>
    <w:pPr>
      <w:spacing w:before="240" w:after="240" w:line="240" w:lineRule="auto"/>
      <w:ind w:left="1080" w:right="1080"/>
      <w:jc w:val="center"/>
    </w:pPr>
    <w:rPr>
      <w:color w:val="0F6FC6" w:themeColor="accent1"/>
      <w:sz w:val="24"/>
      <w:szCs w:val="24"/>
    </w:rPr>
  </w:style>
  <w:style w:type="character" w:customStyle="1" w:styleId="IntenseQuoteChar">
    <w:name w:val="Intense Quote Char"/>
    <w:basedOn w:val="DefaultParagraphFont"/>
    <w:link w:val="IntenseQuote"/>
    <w:uiPriority w:val="30"/>
    <w:rsid w:val="0047680D"/>
    <w:rPr>
      <w:color w:val="0F6FC6" w:themeColor="accent1"/>
      <w:sz w:val="24"/>
      <w:szCs w:val="24"/>
    </w:rPr>
  </w:style>
  <w:style w:type="character" w:styleId="SubtleEmphasis">
    <w:name w:val="Subtle Emphasis"/>
    <w:uiPriority w:val="19"/>
    <w:qFormat/>
    <w:rsid w:val="0047680D"/>
    <w:rPr>
      <w:i/>
      <w:iCs/>
      <w:color w:val="073662" w:themeColor="accent1" w:themeShade="7F"/>
    </w:rPr>
  </w:style>
  <w:style w:type="character" w:styleId="IntenseEmphasis">
    <w:name w:val="Intense Emphasis"/>
    <w:uiPriority w:val="21"/>
    <w:qFormat/>
    <w:rsid w:val="0047680D"/>
    <w:rPr>
      <w:b/>
      <w:bCs/>
      <w:caps/>
      <w:color w:val="073662" w:themeColor="accent1" w:themeShade="7F"/>
      <w:spacing w:val="10"/>
    </w:rPr>
  </w:style>
  <w:style w:type="character" w:styleId="SubtleReference">
    <w:name w:val="Subtle Reference"/>
    <w:uiPriority w:val="31"/>
    <w:qFormat/>
    <w:rsid w:val="0047680D"/>
    <w:rPr>
      <w:b/>
      <w:bCs/>
      <w:color w:val="0F6FC6" w:themeColor="accent1"/>
    </w:rPr>
  </w:style>
  <w:style w:type="character" w:styleId="IntenseReference">
    <w:name w:val="Intense Reference"/>
    <w:uiPriority w:val="32"/>
    <w:qFormat/>
    <w:rsid w:val="0047680D"/>
    <w:rPr>
      <w:b/>
      <w:bCs/>
      <w:i/>
      <w:iCs/>
      <w:caps/>
      <w:color w:val="0F6FC6" w:themeColor="accent1"/>
    </w:rPr>
  </w:style>
  <w:style w:type="character" w:styleId="BookTitle">
    <w:name w:val="Book Title"/>
    <w:uiPriority w:val="33"/>
    <w:qFormat/>
    <w:rsid w:val="0047680D"/>
    <w:rPr>
      <w:b/>
      <w:bCs/>
      <w:i/>
      <w:iCs/>
      <w:spacing w:val="0"/>
    </w:rPr>
  </w:style>
  <w:style w:type="paragraph" w:styleId="TOCHeading">
    <w:name w:val="TOC Heading"/>
    <w:basedOn w:val="Heading1"/>
    <w:next w:val="Normal"/>
    <w:uiPriority w:val="39"/>
    <w:semiHidden/>
    <w:unhideWhenUsed/>
    <w:qFormat/>
    <w:rsid w:val="0047680D"/>
    <w:pPr>
      <w:outlineLvl w:val="9"/>
    </w:pPr>
  </w:style>
  <w:style w:type="paragraph" w:styleId="ListParagraph">
    <w:name w:val="List Paragraph"/>
    <w:basedOn w:val="Normal"/>
    <w:uiPriority w:val="34"/>
    <w:qFormat/>
    <w:rsid w:val="00C605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7825">
      <w:bodyDiv w:val="1"/>
      <w:marLeft w:val="0"/>
      <w:marRight w:val="0"/>
      <w:marTop w:val="0"/>
      <w:marBottom w:val="0"/>
      <w:divBdr>
        <w:top w:val="none" w:sz="0" w:space="0" w:color="auto"/>
        <w:left w:val="none" w:sz="0" w:space="0" w:color="auto"/>
        <w:bottom w:val="none" w:sz="0" w:space="0" w:color="auto"/>
        <w:right w:val="none" w:sz="0" w:space="0" w:color="auto"/>
      </w:divBdr>
    </w:div>
    <w:div w:id="53938686">
      <w:bodyDiv w:val="1"/>
      <w:marLeft w:val="0"/>
      <w:marRight w:val="0"/>
      <w:marTop w:val="0"/>
      <w:marBottom w:val="0"/>
      <w:divBdr>
        <w:top w:val="none" w:sz="0" w:space="0" w:color="auto"/>
        <w:left w:val="none" w:sz="0" w:space="0" w:color="auto"/>
        <w:bottom w:val="none" w:sz="0" w:space="0" w:color="auto"/>
        <w:right w:val="none" w:sz="0" w:space="0" w:color="auto"/>
      </w:divBdr>
    </w:div>
    <w:div w:id="58676757">
      <w:bodyDiv w:val="1"/>
      <w:marLeft w:val="0"/>
      <w:marRight w:val="0"/>
      <w:marTop w:val="0"/>
      <w:marBottom w:val="0"/>
      <w:divBdr>
        <w:top w:val="none" w:sz="0" w:space="0" w:color="auto"/>
        <w:left w:val="none" w:sz="0" w:space="0" w:color="auto"/>
        <w:bottom w:val="none" w:sz="0" w:space="0" w:color="auto"/>
        <w:right w:val="none" w:sz="0" w:space="0" w:color="auto"/>
      </w:divBdr>
    </w:div>
    <w:div w:id="72705649">
      <w:bodyDiv w:val="1"/>
      <w:marLeft w:val="0"/>
      <w:marRight w:val="0"/>
      <w:marTop w:val="0"/>
      <w:marBottom w:val="0"/>
      <w:divBdr>
        <w:top w:val="none" w:sz="0" w:space="0" w:color="auto"/>
        <w:left w:val="none" w:sz="0" w:space="0" w:color="auto"/>
        <w:bottom w:val="none" w:sz="0" w:space="0" w:color="auto"/>
        <w:right w:val="none" w:sz="0" w:space="0" w:color="auto"/>
      </w:divBdr>
    </w:div>
    <w:div w:id="103502383">
      <w:bodyDiv w:val="1"/>
      <w:marLeft w:val="0"/>
      <w:marRight w:val="0"/>
      <w:marTop w:val="0"/>
      <w:marBottom w:val="0"/>
      <w:divBdr>
        <w:top w:val="none" w:sz="0" w:space="0" w:color="auto"/>
        <w:left w:val="none" w:sz="0" w:space="0" w:color="auto"/>
        <w:bottom w:val="none" w:sz="0" w:space="0" w:color="auto"/>
        <w:right w:val="none" w:sz="0" w:space="0" w:color="auto"/>
      </w:divBdr>
    </w:div>
    <w:div w:id="116224943">
      <w:bodyDiv w:val="1"/>
      <w:marLeft w:val="0"/>
      <w:marRight w:val="0"/>
      <w:marTop w:val="0"/>
      <w:marBottom w:val="0"/>
      <w:divBdr>
        <w:top w:val="none" w:sz="0" w:space="0" w:color="auto"/>
        <w:left w:val="none" w:sz="0" w:space="0" w:color="auto"/>
        <w:bottom w:val="none" w:sz="0" w:space="0" w:color="auto"/>
        <w:right w:val="none" w:sz="0" w:space="0" w:color="auto"/>
      </w:divBdr>
    </w:div>
    <w:div w:id="130560432">
      <w:bodyDiv w:val="1"/>
      <w:marLeft w:val="0"/>
      <w:marRight w:val="0"/>
      <w:marTop w:val="0"/>
      <w:marBottom w:val="0"/>
      <w:divBdr>
        <w:top w:val="none" w:sz="0" w:space="0" w:color="auto"/>
        <w:left w:val="none" w:sz="0" w:space="0" w:color="auto"/>
        <w:bottom w:val="none" w:sz="0" w:space="0" w:color="auto"/>
        <w:right w:val="none" w:sz="0" w:space="0" w:color="auto"/>
      </w:divBdr>
    </w:div>
    <w:div w:id="135494641">
      <w:bodyDiv w:val="1"/>
      <w:marLeft w:val="0"/>
      <w:marRight w:val="0"/>
      <w:marTop w:val="0"/>
      <w:marBottom w:val="0"/>
      <w:divBdr>
        <w:top w:val="none" w:sz="0" w:space="0" w:color="auto"/>
        <w:left w:val="none" w:sz="0" w:space="0" w:color="auto"/>
        <w:bottom w:val="none" w:sz="0" w:space="0" w:color="auto"/>
        <w:right w:val="none" w:sz="0" w:space="0" w:color="auto"/>
      </w:divBdr>
    </w:div>
    <w:div w:id="136729608">
      <w:bodyDiv w:val="1"/>
      <w:marLeft w:val="0"/>
      <w:marRight w:val="0"/>
      <w:marTop w:val="0"/>
      <w:marBottom w:val="0"/>
      <w:divBdr>
        <w:top w:val="none" w:sz="0" w:space="0" w:color="auto"/>
        <w:left w:val="none" w:sz="0" w:space="0" w:color="auto"/>
        <w:bottom w:val="none" w:sz="0" w:space="0" w:color="auto"/>
        <w:right w:val="none" w:sz="0" w:space="0" w:color="auto"/>
      </w:divBdr>
    </w:div>
    <w:div w:id="150944923">
      <w:bodyDiv w:val="1"/>
      <w:marLeft w:val="0"/>
      <w:marRight w:val="0"/>
      <w:marTop w:val="0"/>
      <w:marBottom w:val="0"/>
      <w:divBdr>
        <w:top w:val="none" w:sz="0" w:space="0" w:color="auto"/>
        <w:left w:val="none" w:sz="0" w:space="0" w:color="auto"/>
        <w:bottom w:val="none" w:sz="0" w:space="0" w:color="auto"/>
        <w:right w:val="none" w:sz="0" w:space="0" w:color="auto"/>
      </w:divBdr>
    </w:div>
    <w:div w:id="158430255">
      <w:bodyDiv w:val="1"/>
      <w:marLeft w:val="0"/>
      <w:marRight w:val="0"/>
      <w:marTop w:val="0"/>
      <w:marBottom w:val="0"/>
      <w:divBdr>
        <w:top w:val="none" w:sz="0" w:space="0" w:color="auto"/>
        <w:left w:val="none" w:sz="0" w:space="0" w:color="auto"/>
        <w:bottom w:val="none" w:sz="0" w:space="0" w:color="auto"/>
        <w:right w:val="none" w:sz="0" w:space="0" w:color="auto"/>
      </w:divBdr>
    </w:div>
    <w:div w:id="168564240">
      <w:bodyDiv w:val="1"/>
      <w:marLeft w:val="0"/>
      <w:marRight w:val="0"/>
      <w:marTop w:val="0"/>
      <w:marBottom w:val="0"/>
      <w:divBdr>
        <w:top w:val="none" w:sz="0" w:space="0" w:color="auto"/>
        <w:left w:val="none" w:sz="0" w:space="0" w:color="auto"/>
        <w:bottom w:val="none" w:sz="0" w:space="0" w:color="auto"/>
        <w:right w:val="none" w:sz="0" w:space="0" w:color="auto"/>
      </w:divBdr>
    </w:div>
    <w:div w:id="173037224">
      <w:bodyDiv w:val="1"/>
      <w:marLeft w:val="0"/>
      <w:marRight w:val="0"/>
      <w:marTop w:val="0"/>
      <w:marBottom w:val="0"/>
      <w:divBdr>
        <w:top w:val="none" w:sz="0" w:space="0" w:color="auto"/>
        <w:left w:val="none" w:sz="0" w:space="0" w:color="auto"/>
        <w:bottom w:val="none" w:sz="0" w:space="0" w:color="auto"/>
        <w:right w:val="none" w:sz="0" w:space="0" w:color="auto"/>
      </w:divBdr>
    </w:div>
    <w:div w:id="173887421">
      <w:bodyDiv w:val="1"/>
      <w:marLeft w:val="0"/>
      <w:marRight w:val="0"/>
      <w:marTop w:val="0"/>
      <w:marBottom w:val="0"/>
      <w:divBdr>
        <w:top w:val="none" w:sz="0" w:space="0" w:color="auto"/>
        <w:left w:val="none" w:sz="0" w:space="0" w:color="auto"/>
        <w:bottom w:val="none" w:sz="0" w:space="0" w:color="auto"/>
        <w:right w:val="none" w:sz="0" w:space="0" w:color="auto"/>
      </w:divBdr>
    </w:div>
    <w:div w:id="193269040">
      <w:bodyDiv w:val="1"/>
      <w:marLeft w:val="0"/>
      <w:marRight w:val="0"/>
      <w:marTop w:val="0"/>
      <w:marBottom w:val="0"/>
      <w:divBdr>
        <w:top w:val="none" w:sz="0" w:space="0" w:color="auto"/>
        <w:left w:val="none" w:sz="0" w:space="0" w:color="auto"/>
        <w:bottom w:val="none" w:sz="0" w:space="0" w:color="auto"/>
        <w:right w:val="none" w:sz="0" w:space="0" w:color="auto"/>
      </w:divBdr>
    </w:div>
    <w:div w:id="210115048">
      <w:bodyDiv w:val="1"/>
      <w:marLeft w:val="0"/>
      <w:marRight w:val="0"/>
      <w:marTop w:val="0"/>
      <w:marBottom w:val="0"/>
      <w:divBdr>
        <w:top w:val="none" w:sz="0" w:space="0" w:color="auto"/>
        <w:left w:val="none" w:sz="0" w:space="0" w:color="auto"/>
        <w:bottom w:val="none" w:sz="0" w:space="0" w:color="auto"/>
        <w:right w:val="none" w:sz="0" w:space="0" w:color="auto"/>
      </w:divBdr>
    </w:div>
    <w:div w:id="236092174">
      <w:bodyDiv w:val="1"/>
      <w:marLeft w:val="0"/>
      <w:marRight w:val="0"/>
      <w:marTop w:val="0"/>
      <w:marBottom w:val="0"/>
      <w:divBdr>
        <w:top w:val="none" w:sz="0" w:space="0" w:color="auto"/>
        <w:left w:val="none" w:sz="0" w:space="0" w:color="auto"/>
        <w:bottom w:val="none" w:sz="0" w:space="0" w:color="auto"/>
        <w:right w:val="none" w:sz="0" w:space="0" w:color="auto"/>
      </w:divBdr>
    </w:div>
    <w:div w:id="241842735">
      <w:bodyDiv w:val="1"/>
      <w:marLeft w:val="0"/>
      <w:marRight w:val="0"/>
      <w:marTop w:val="0"/>
      <w:marBottom w:val="0"/>
      <w:divBdr>
        <w:top w:val="none" w:sz="0" w:space="0" w:color="auto"/>
        <w:left w:val="none" w:sz="0" w:space="0" w:color="auto"/>
        <w:bottom w:val="none" w:sz="0" w:space="0" w:color="auto"/>
        <w:right w:val="none" w:sz="0" w:space="0" w:color="auto"/>
      </w:divBdr>
    </w:div>
    <w:div w:id="259795509">
      <w:bodyDiv w:val="1"/>
      <w:marLeft w:val="0"/>
      <w:marRight w:val="0"/>
      <w:marTop w:val="0"/>
      <w:marBottom w:val="0"/>
      <w:divBdr>
        <w:top w:val="none" w:sz="0" w:space="0" w:color="auto"/>
        <w:left w:val="none" w:sz="0" w:space="0" w:color="auto"/>
        <w:bottom w:val="none" w:sz="0" w:space="0" w:color="auto"/>
        <w:right w:val="none" w:sz="0" w:space="0" w:color="auto"/>
      </w:divBdr>
    </w:div>
    <w:div w:id="261183392">
      <w:bodyDiv w:val="1"/>
      <w:marLeft w:val="0"/>
      <w:marRight w:val="0"/>
      <w:marTop w:val="0"/>
      <w:marBottom w:val="0"/>
      <w:divBdr>
        <w:top w:val="none" w:sz="0" w:space="0" w:color="auto"/>
        <w:left w:val="none" w:sz="0" w:space="0" w:color="auto"/>
        <w:bottom w:val="none" w:sz="0" w:space="0" w:color="auto"/>
        <w:right w:val="none" w:sz="0" w:space="0" w:color="auto"/>
      </w:divBdr>
    </w:div>
    <w:div w:id="297534759">
      <w:bodyDiv w:val="1"/>
      <w:marLeft w:val="0"/>
      <w:marRight w:val="0"/>
      <w:marTop w:val="0"/>
      <w:marBottom w:val="0"/>
      <w:divBdr>
        <w:top w:val="none" w:sz="0" w:space="0" w:color="auto"/>
        <w:left w:val="none" w:sz="0" w:space="0" w:color="auto"/>
        <w:bottom w:val="none" w:sz="0" w:space="0" w:color="auto"/>
        <w:right w:val="none" w:sz="0" w:space="0" w:color="auto"/>
      </w:divBdr>
    </w:div>
    <w:div w:id="322855783">
      <w:bodyDiv w:val="1"/>
      <w:marLeft w:val="0"/>
      <w:marRight w:val="0"/>
      <w:marTop w:val="0"/>
      <w:marBottom w:val="0"/>
      <w:divBdr>
        <w:top w:val="none" w:sz="0" w:space="0" w:color="auto"/>
        <w:left w:val="none" w:sz="0" w:space="0" w:color="auto"/>
        <w:bottom w:val="none" w:sz="0" w:space="0" w:color="auto"/>
        <w:right w:val="none" w:sz="0" w:space="0" w:color="auto"/>
      </w:divBdr>
    </w:div>
    <w:div w:id="330185748">
      <w:bodyDiv w:val="1"/>
      <w:marLeft w:val="0"/>
      <w:marRight w:val="0"/>
      <w:marTop w:val="0"/>
      <w:marBottom w:val="0"/>
      <w:divBdr>
        <w:top w:val="none" w:sz="0" w:space="0" w:color="auto"/>
        <w:left w:val="none" w:sz="0" w:space="0" w:color="auto"/>
        <w:bottom w:val="none" w:sz="0" w:space="0" w:color="auto"/>
        <w:right w:val="none" w:sz="0" w:space="0" w:color="auto"/>
      </w:divBdr>
    </w:div>
    <w:div w:id="332295979">
      <w:bodyDiv w:val="1"/>
      <w:marLeft w:val="0"/>
      <w:marRight w:val="0"/>
      <w:marTop w:val="0"/>
      <w:marBottom w:val="0"/>
      <w:divBdr>
        <w:top w:val="none" w:sz="0" w:space="0" w:color="auto"/>
        <w:left w:val="none" w:sz="0" w:space="0" w:color="auto"/>
        <w:bottom w:val="none" w:sz="0" w:space="0" w:color="auto"/>
        <w:right w:val="none" w:sz="0" w:space="0" w:color="auto"/>
      </w:divBdr>
    </w:div>
    <w:div w:id="339745716">
      <w:bodyDiv w:val="1"/>
      <w:marLeft w:val="0"/>
      <w:marRight w:val="0"/>
      <w:marTop w:val="0"/>
      <w:marBottom w:val="0"/>
      <w:divBdr>
        <w:top w:val="none" w:sz="0" w:space="0" w:color="auto"/>
        <w:left w:val="none" w:sz="0" w:space="0" w:color="auto"/>
        <w:bottom w:val="none" w:sz="0" w:space="0" w:color="auto"/>
        <w:right w:val="none" w:sz="0" w:space="0" w:color="auto"/>
      </w:divBdr>
    </w:div>
    <w:div w:id="357856432">
      <w:bodyDiv w:val="1"/>
      <w:marLeft w:val="0"/>
      <w:marRight w:val="0"/>
      <w:marTop w:val="0"/>
      <w:marBottom w:val="0"/>
      <w:divBdr>
        <w:top w:val="none" w:sz="0" w:space="0" w:color="auto"/>
        <w:left w:val="none" w:sz="0" w:space="0" w:color="auto"/>
        <w:bottom w:val="none" w:sz="0" w:space="0" w:color="auto"/>
        <w:right w:val="none" w:sz="0" w:space="0" w:color="auto"/>
      </w:divBdr>
    </w:div>
    <w:div w:id="383725402">
      <w:bodyDiv w:val="1"/>
      <w:marLeft w:val="0"/>
      <w:marRight w:val="0"/>
      <w:marTop w:val="0"/>
      <w:marBottom w:val="0"/>
      <w:divBdr>
        <w:top w:val="none" w:sz="0" w:space="0" w:color="auto"/>
        <w:left w:val="none" w:sz="0" w:space="0" w:color="auto"/>
        <w:bottom w:val="none" w:sz="0" w:space="0" w:color="auto"/>
        <w:right w:val="none" w:sz="0" w:space="0" w:color="auto"/>
      </w:divBdr>
    </w:div>
    <w:div w:id="387189965">
      <w:bodyDiv w:val="1"/>
      <w:marLeft w:val="0"/>
      <w:marRight w:val="0"/>
      <w:marTop w:val="0"/>
      <w:marBottom w:val="0"/>
      <w:divBdr>
        <w:top w:val="none" w:sz="0" w:space="0" w:color="auto"/>
        <w:left w:val="none" w:sz="0" w:space="0" w:color="auto"/>
        <w:bottom w:val="none" w:sz="0" w:space="0" w:color="auto"/>
        <w:right w:val="none" w:sz="0" w:space="0" w:color="auto"/>
      </w:divBdr>
    </w:div>
    <w:div w:id="397945143">
      <w:bodyDiv w:val="1"/>
      <w:marLeft w:val="0"/>
      <w:marRight w:val="0"/>
      <w:marTop w:val="0"/>
      <w:marBottom w:val="0"/>
      <w:divBdr>
        <w:top w:val="none" w:sz="0" w:space="0" w:color="auto"/>
        <w:left w:val="none" w:sz="0" w:space="0" w:color="auto"/>
        <w:bottom w:val="none" w:sz="0" w:space="0" w:color="auto"/>
        <w:right w:val="none" w:sz="0" w:space="0" w:color="auto"/>
      </w:divBdr>
    </w:div>
    <w:div w:id="452091376">
      <w:bodyDiv w:val="1"/>
      <w:marLeft w:val="0"/>
      <w:marRight w:val="0"/>
      <w:marTop w:val="0"/>
      <w:marBottom w:val="0"/>
      <w:divBdr>
        <w:top w:val="none" w:sz="0" w:space="0" w:color="auto"/>
        <w:left w:val="none" w:sz="0" w:space="0" w:color="auto"/>
        <w:bottom w:val="none" w:sz="0" w:space="0" w:color="auto"/>
        <w:right w:val="none" w:sz="0" w:space="0" w:color="auto"/>
      </w:divBdr>
    </w:div>
    <w:div w:id="453445687">
      <w:bodyDiv w:val="1"/>
      <w:marLeft w:val="0"/>
      <w:marRight w:val="0"/>
      <w:marTop w:val="0"/>
      <w:marBottom w:val="0"/>
      <w:divBdr>
        <w:top w:val="none" w:sz="0" w:space="0" w:color="auto"/>
        <w:left w:val="none" w:sz="0" w:space="0" w:color="auto"/>
        <w:bottom w:val="none" w:sz="0" w:space="0" w:color="auto"/>
        <w:right w:val="none" w:sz="0" w:space="0" w:color="auto"/>
      </w:divBdr>
    </w:div>
    <w:div w:id="455876027">
      <w:bodyDiv w:val="1"/>
      <w:marLeft w:val="0"/>
      <w:marRight w:val="0"/>
      <w:marTop w:val="0"/>
      <w:marBottom w:val="0"/>
      <w:divBdr>
        <w:top w:val="none" w:sz="0" w:space="0" w:color="auto"/>
        <w:left w:val="none" w:sz="0" w:space="0" w:color="auto"/>
        <w:bottom w:val="none" w:sz="0" w:space="0" w:color="auto"/>
        <w:right w:val="none" w:sz="0" w:space="0" w:color="auto"/>
      </w:divBdr>
    </w:div>
    <w:div w:id="475223197">
      <w:bodyDiv w:val="1"/>
      <w:marLeft w:val="0"/>
      <w:marRight w:val="0"/>
      <w:marTop w:val="0"/>
      <w:marBottom w:val="0"/>
      <w:divBdr>
        <w:top w:val="none" w:sz="0" w:space="0" w:color="auto"/>
        <w:left w:val="none" w:sz="0" w:space="0" w:color="auto"/>
        <w:bottom w:val="none" w:sz="0" w:space="0" w:color="auto"/>
        <w:right w:val="none" w:sz="0" w:space="0" w:color="auto"/>
      </w:divBdr>
    </w:div>
    <w:div w:id="497188250">
      <w:bodyDiv w:val="1"/>
      <w:marLeft w:val="0"/>
      <w:marRight w:val="0"/>
      <w:marTop w:val="0"/>
      <w:marBottom w:val="0"/>
      <w:divBdr>
        <w:top w:val="none" w:sz="0" w:space="0" w:color="auto"/>
        <w:left w:val="none" w:sz="0" w:space="0" w:color="auto"/>
        <w:bottom w:val="none" w:sz="0" w:space="0" w:color="auto"/>
        <w:right w:val="none" w:sz="0" w:space="0" w:color="auto"/>
      </w:divBdr>
    </w:div>
    <w:div w:id="509368723">
      <w:bodyDiv w:val="1"/>
      <w:marLeft w:val="0"/>
      <w:marRight w:val="0"/>
      <w:marTop w:val="0"/>
      <w:marBottom w:val="0"/>
      <w:divBdr>
        <w:top w:val="none" w:sz="0" w:space="0" w:color="auto"/>
        <w:left w:val="none" w:sz="0" w:space="0" w:color="auto"/>
        <w:bottom w:val="none" w:sz="0" w:space="0" w:color="auto"/>
        <w:right w:val="none" w:sz="0" w:space="0" w:color="auto"/>
      </w:divBdr>
    </w:div>
    <w:div w:id="517933187">
      <w:bodyDiv w:val="1"/>
      <w:marLeft w:val="0"/>
      <w:marRight w:val="0"/>
      <w:marTop w:val="0"/>
      <w:marBottom w:val="0"/>
      <w:divBdr>
        <w:top w:val="none" w:sz="0" w:space="0" w:color="auto"/>
        <w:left w:val="none" w:sz="0" w:space="0" w:color="auto"/>
        <w:bottom w:val="none" w:sz="0" w:space="0" w:color="auto"/>
        <w:right w:val="none" w:sz="0" w:space="0" w:color="auto"/>
      </w:divBdr>
    </w:div>
    <w:div w:id="520365633">
      <w:bodyDiv w:val="1"/>
      <w:marLeft w:val="0"/>
      <w:marRight w:val="0"/>
      <w:marTop w:val="0"/>
      <w:marBottom w:val="0"/>
      <w:divBdr>
        <w:top w:val="none" w:sz="0" w:space="0" w:color="auto"/>
        <w:left w:val="none" w:sz="0" w:space="0" w:color="auto"/>
        <w:bottom w:val="none" w:sz="0" w:space="0" w:color="auto"/>
        <w:right w:val="none" w:sz="0" w:space="0" w:color="auto"/>
      </w:divBdr>
    </w:div>
    <w:div w:id="535309752">
      <w:bodyDiv w:val="1"/>
      <w:marLeft w:val="0"/>
      <w:marRight w:val="0"/>
      <w:marTop w:val="0"/>
      <w:marBottom w:val="0"/>
      <w:divBdr>
        <w:top w:val="none" w:sz="0" w:space="0" w:color="auto"/>
        <w:left w:val="none" w:sz="0" w:space="0" w:color="auto"/>
        <w:bottom w:val="none" w:sz="0" w:space="0" w:color="auto"/>
        <w:right w:val="none" w:sz="0" w:space="0" w:color="auto"/>
      </w:divBdr>
    </w:div>
    <w:div w:id="560333395">
      <w:bodyDiv w:val="1"/>
      <w:marLeft w:val="0"/>
      <w:marRight w:val="0"/>
      <w:marTop w:val="0"/>
      <w:marBottom w:val="0"/>
      <w:divBdr>
        <w:top w:val="none" w:sz="0" w:space="0" w:color="auto"/>
        <w:left w:val="none" w:sz="0" w:space="0" w:color="auto"/>
        <w:bottom w:val="none" w:sz="0" w:space="0" w:color="auto"/>
        <w:right w:val="none" w:sz="0" w:space="0" w:color="auto"/>
      </w:divBdr>
    </w:div>
    <w:div w:id="574170789">
      <w:bodyDiv w:val="1"/>
      <w:marLeft w:val="0"/>
      <w:marRight w:val="0"/>
      <w:marTop w:val="0"/>
      <w:marBottom w:val="0"/>
      <w:divBdr>
        <w:top w:val="none" w:sz="0" w:space="0" w:color="auto"/>
        <w:left w:val="none" w:sz="0" w:space="0" w:color="auto"/>
        <w:bottom w:val="none" w:sz="0" w:space="0" w:color="auto"/>
        <w:right w:val="none" w:sz="0" w:space="0" w:color="auto"/>
      </w:divBdr>
    </w:div>
    <w:div w:id="586037479">
      <w:bodyDiv w:val="1"/>
      <w:marLeft w:val="0"/>
      <w:marRight w:val="0"/>
      <w:marTop w:val="0"/>
      <w:marBottom w:val="0"/>
      <w:divBdr>
        <w:top w:val="none" w:sz="0" w:space="0" w:color="auto"/>
        <w:left w:val="none" w:sz="0" w:space="0" w:color="auto"/>
        <w:bottom w:val="none" w:sz="0" w:space="0" w:color="auto"/>
        <w:right w:val="none" w:sz="0" w:space="0" w:color="auto"/>
      </w:divBdr>
    </w:div>
    <w:div w:id="591088537">
      <w:bodyDiv w:val="1"/>
      <w:marLeft w:val="0"/>
      <w:marRight w:val="0"/>
      <w:marTop w:val="0"/>
      <w:marBottom w:val="0"/>
      <w:divBdr>
        <w:top w:val="none" w:sz="0" w:space="0" w:color="auto"/>
        <w:left w:val="none" w:sz="0" w:space="0" w:color="auto"/>
        <w:bottom w:val="none" w:sz="0" w:space="0" w:color="auto"/>
        <w:right w:val="none" w:sz="0" w:space="0" w:color="auto"/>
      </w:divBdr>
    </w:div>
    <w:div w:id="591399878">
      <w:bodyDiv w:val="1"/>
      <w:marLeft w:val="0"/>
      <w:marRight w:val="0"/>
      <w:marTop w:val="0"/>
      <w:marBottom w:val="0"/>
      <w:divBdr>
        <w:top w:val="none" w:sz="0" w:space="0" w:color="auto"/>
        <w:left w:val="none" w:sz="0" w:space="0" w:color="auto"/>
        <w:bottom w:val="none" w:sz="0" w:space="0" w:color="auto"/>
        <w:right w:val="none" w:sz="0" w:space="0" w:color="auto"/>
      </w:divBdr>
    </w:div>
    <w:div w:id="633676720">
      <w:bodyDiv w:val="1"/>
      <w:marLeft w:val="0"/>
      <w:marRight w:val="0"/>
      <w:marTop w:val="0"/>
      <w:marBottom w:val="0"/>
      <w:divBdr>
        <w:top w:val="none" w:sz="0" w:space="0" w:color="auto"/>
        <w:left w:val="none" w:sz="0" w:space="0" w:color="auto"/>
        <w:bottom w:val="none" w:sz="0" w:space="0" w:color="auto"/>
        <w:right w:val="none" w:sz="0" w:space="0" w:color="auto"/>
      </w:divBdr>
    </w:div>
    <w:div w:id="634918856">
      <w:bodyDiv w:val="1"/>
      <w:marLeft w:val="0"/>
      <w:marRight w:val="0"/>
      <w:marTop w:val="0"/>
      <w:marBottom w:val="0"/>
      <w:divBdr>
        <w:top w:val="none" w:sz="0" w:space="0" w:color="auto"/>
        <w:left w:val="none" w:sz="0" w:space="0" w:color="auto"/>
        <w:bottom w:val="none" w:sz="0" w:space="0" w:color="auto"/>
        <w:right w:val="none" w:sz="0" w:space="0" w:color="auto"/>
      </w:divBdr>
    </w:div>
    <w:div w:id="635835675">
      <w:bodyDiv w:val="1"/>
      <w:marLeft w:val="0"/>
      <w:marRight w:val="0"/>
      <w:marTop w:val="0"/>
      <w:marBottom w:val="0"/>
      <w:divBdr>
        <w:top w:val="none" w:sz="0" w:space="0" w:color="auto"/>
        <w:left w:val="none" w:sz="0" w:space="0" w:color="auto"/>
        <w:bottom w:val="none" w:sz="0" w:space="0" w:color="auto"/>
        <w:right w:val="none" w:sz="0" w:space="0" w:color="auto"/>
      </w:divBdr>
    </w:div>
    <w:div w:id="640766274">
      <w:bodyDiv w:val="1"/>
      <w:marLeft w:val="0"/>
      <w:marRight w:val="0"/>
      <w:marTop w:val="0"/>
      <w:marBottom w:val="0"/>
      <w:divBdr>
        <w:top w:val="none" w:sz="0" w:space="0" w:color="auto"/>
        <w:left w:val="none" w:sz="0" w:space="0" w:color="auto"/>
        <w:bottom w:val="none" w:sz="0" w:space="0" w:color="auto"/>
        <w:right w:val="none" w:sz="0" w:space="0" w:color="auto"/>
      </w:divBdr>
    </w:div>
    <w:div w:id="651255578">
      <w:bodyDiv w:val="1"/>
      <w:marLeft w:val="0"/>
      <w:marRight w:val="0"/>
      <w:marTop w:val="0"/>
      <w:marBottom w:val="0"/>
      <w:divBdr>
        <w:top w:val="none" w:sz="0" w:space="0" w:color="auto"/>
        <w:left w:val="none" w:sz="0" w:space="0" w:color="auto"/>
        <w:bottom w:val="none" w:sz="0" w:space="0" w:color="auto"/>
        <w:right w:val="none" w:sz="0" w:space="0" w:color="auto"/>
      </w:divBdr>
    </w:div>
    <w:div w:id="667438246">
      <w:bodyDiv w:val="1"/>
      <w:marLeft w:val="0"/>
      <w:marRight w:val="0"/>
      <w:marTop w:val="0"/>
      <w:marBottom w:val="0"/>
      <w:divBdr>
        <w:top w:val="none" w:sz="0" w:space="0" w:color="auto"/>
        <w:left w:val="none" w:sz="0" w:space="0" w:color="auto"/>
        <w:bottom w:val="none" w:sz="0" w:space="0" w:color="auto"/>
        <w:right w:val="none" w:sz="0" w:space="0" w:color="auto"/>
      </w:divBdr>
    </w:div>
    <w:div w:id="668604853">
      <w:bodyDiv w:val="1"/>
      <w:marLeft w:val="0"/>
      <w:marRight w:val="0"/>
      <w:marTop w:val="0"/>
      <w:marBottom w:val="0"/>
      <w:divBdr>
        <w:top w:val="none" w:sz="0" w:space="0" w:color="auto"/>
        <w:left w:val="none" w:sz="0" w:space="0" w:color="auto"/>
        <w:bottom w:val="none" w:sz="0" w:space="0" w:color="auto"/>
        <w:right w:val="none" w:sz="0" w:space="0" w:color="auto"/>
      </w:divBdr>
    </w:div>
    <w:div w:id="669987501">
      <w:bodyDiv w:val="1"/>
      <w:marLeft w:val="0"/>
      <w:marRight w:val="0"/>
      <w:marTop w:val="0"/>
      <w:marBottom w:val="0"/>
      <w:divBdr>
        <w:top w:val="none" w:sz="0" w:space="0" w:color="auto"/>
        <w:left w:val="none" w:sz="0" w:space="0" w:color="auto"/>
        <w:bottom w:val="none" w:sz="0" w:space="0" w:color="auto"/>
        <w:right w:val="none" w:sz="0" w:space="0" w:color="auto"/>
      </w:divBdr>
    </w:div>
    <w:div w:id="682513476">
      <w:bodyDiv w:val="1"/>
      <w:marLeft w:val="0"/>
      <w:marRight w:val="0"/>
      <w:marTop w:val="0"/>
      <w:marBottom w:val="0"/>
      <w:divBdr>
        <w:top w:val="none" w:sz="0" w:space="0" w:color="auto"/>
        <w:left w:val="none" w:sz="0" w:space="0" w:color="auto"/>
        <w:bottom w:val="none" w:sz="0" w:space="0" w:color="auto"/>
        <w:right w:val="none" w:sz="0" w:space="0" w:color="auto"/>
      </w:divBdr>
    </w:div>
    <w:div w:id="689531572">
      <w:bodyDiv w:val="1"/>
      <w:marLeft w:val="0"/>
      <w:marRight w:val="0"/>
      <w:marTop w:val="0"/>
      <w:marBottom w:val="0"/>
      <w:divBdr>
        <w:top w:val="none" w:sz="0" w:space="0" w:color="auto"/>
        <w:left w:val="none" w:sz="0" w:space="0" w:color="auto"/>
        <w:bottom w:val="none" w:sz="0" w:space="0" w:color="auto"/>
        <w:right w:val="none" w:sz="0" w:space="0" w:color="auto"/>
      </w:divBdr>
    </w:div>
    <w:div w:id="700476572">
      <w:bodyDiv w:val="1"/>
      <w:marLeft w:val="0"/>
      <w:marRight w:val="0"/>
      <w:marTop w:val="0"/>
      <w:marBottom w:val="0"/>
      <w:divBdr>
        <w:top w:val="none" w:sz="0" w:space="0" w:color="auto"/>
        <w:left w:val="none" w:sz="0" w:space="0" w:color="auto"/>
        <w:bottom w:val="none" w:sz="0" w:space="0" w:color="auto"/>
        <w:right w:val="none" w:sz="0" w:space="0" w:color="auto"/>
      </w:divBdr>
    </w:div>
    <w:div w:id="750584036">
      <w:bodyDiv w:val="1"/>
      <w:marLeft w:val="0"/>
      <w:marRight w:val="0"/>
      <w:marTop w:val="0"/>
      <w:marBottom w:val="0"/>
      <w:divBdr>
        <w:top w:val="none" w:sz="0" w:space="0" w:color="auto"/>
        <w:left w:val="none" w:sz="0" w:space="0" w:color="auto"/>
        <w:bottom w:val="none" w:sz="0" w:space="0" w:color="auto"/>
        <w:right w:val="none" w:sz="0" w:space="0" w:color="auto"/>
      </w:divBdr>
    </w:div>
    <w:div w:id="757409269">
      <w:bodyDiv w:val="1"/>
      <w:marLeft w:val="0"/>
      <w:marRight w:val="0"/>
      <w:marTop w:val="0"/>
      <w:marBottom w:val="0"/>
      <w:divBdr>
        <w:top w:val="none" w:sz="0" w:space="0" w:color="auto"/>
        <w:left w:val="none" w:sz="0" w:space="0" w:color="auto"/>
        <w:bottom w:val="none" w:sz="0" w:space="0" w:color="auto"/>
        <w:right w:val="none" w:sz="0" w:space="0" w:color="auto"/>
      </w:divBdr>
    </w:div>
    <w:div w:id="782264069">
      <w:bodyDiv w:val="1"/>
      <w:marLeft w:val="0"/>
      <w:marRight w:val="0"/>
      <w:marTop w:val="0"/>
      <w:marBottom w:val="0"/>
      <w:divBdr>
        <w:top w:val="none" w:sz="0" w:space="0" w:color="auto"/>
        <w:left w:val="none" w:sz="0" w:space="0" w:color="auto"/>
        <w:bottom w:val="none" w:sz="0" w:space="0" w:color="auto"/>
        <w:right w:val="none" w:sz="0" w:space="0" w:color="auto"/>
      </w:divBdr>
    </w:div>
    <w:div w:id="801075087">
      <w:bodyDiv w:val="1"/>
      <w:marLeft w:val="0"/>
      <w:marRight w:val="0"/>
      <w:marTop w:val="0"/>
      <w:marBottom w:val="0"/>
      <w:divBdr>
        <w:top w:val="none" w:sz="0" w:space="0" w:color="auto"/>
        <w:left w:val="none" w:sz="0" w:space="0" w:color="auto"/>
        <w:bottom w:val="none" w:sz="0" w:space="0" w:color="auto"/>
        <w:right w:val="none" w:sz="0" w:space="0" w:color="auto"/>
      </w:divBdr>
    </w:div>
    <w:div w:id="862280733">
      <w:bodyDiv w:val="1"/>
      <w:marLeft w:val="0"/>
      <w:marRight w:val="0"/>
      <w:marTop w:val="0"/>
      <w:marBottom w:val="0"/>
      <w:divBdr>
        <w:top w:val="none" w:sz="0" w:space="0" w:color="auto"/>
        <w:left w:val="none" w:sz="0" w:space="0" w:color="auto"/>
        <w:bottom w:val="none" w:sz="0" w:space="0" w:color="auto"/>
        <w:right w:val="none" w:sz="0" w:space="0" w:color="auto"/>
      </w:divBdr>
    </w:div>
    <w:div w:id="881089159">
      <w:bodyDiv w:val="1"/>
      <w:marLeft w:val="0"/>
      <w:marRight w:val="0"/>
      <w:marTop w:val="0"/>
      <w:marBottom w:val="0"/>
      <w:divBdr>
        <w:top w:val="none" w:sz="0" w:space="0" w:color="auto"/>
        <w:left w:val="none" w:sz="0" w:space="0" w:color="auto"/>
        <w:bottom w:val="none" w:sz="0" w:space="0" w:color="auto"/>
        <w:right w:val="none" w:sz="0" w:space="0" w:color="auto"/>
      </w:divBdr>
    </w:div>
    <w:div w:id="885264110">
      <w:bodyDiv w:val="1"/>
      <w:marLeft w:val="0"/>
      <w:marRight w:val="0"/>
      <w:marTop w:val="0"/>
      <w:marBottom w:val="0"/>
      <w:divBdr>
        <w:top w:val="none" w:sz="0" w:space="0" w:color="auto"/>
        <w:left w:val="none" w:sz="0" w:space="0" w:color="auto"/>
        <w:bottom w:val="none" w:sz="0" w:space="0" w:color="auto"/>
        <w:right w:val="none" w:sz="0" w:space="0" w:color="auto"/>
      </w:divBdr>
    </w:div>
    <w:div w:id="893395991">
      <w:bodyDiv w:val="1"/>
      <w:marLeft w:val="0"/>
      <w:marRight w:val="0"/>
      <w:marTop w:val="0"/>
      <w:marBottom w:val="0"/>
      <w:divBdr>
        <w:top w:val="none" w:sz="0" w:space="0" w:color="auto"/>
        <w:left w:val="none" w:sz="0" w:space="0" w:color="auto"/>
        <w:bottom w:val="none" w:sz="0" w:space="0" w:color="auto"/>
        <w:right w:val="none" w:sz="0" w:space="0" w:color="auto"/>
      </w:divBdr>
    </w:div>
    <w:div w:id="950160594">
      <w:bodyDiv w:val="1"/>
      <w:marLeft w:val="0"/>
      <w:marRight w:val="0"/>
      <w:marTop w:val="0"/>
      <w:marBottom w:val="0"/>
      <w:divBdr>
        <w:top w:val="none" w:sz="0" w:space="0" w:color="auto"/>
        <w:left w:val="none" w:sz="0" w:space="0" w:color="auto"/>
        <w:bottom w:val="none" w:sz="0" w:space="0" w:color="auto"/>
        <w:right w:val="none" w:sz="0" w:space="0" w:color="auto"/>
      </w:divBdr>
    </w:div>
    <w:div w:id="950479614">
      <w:bodyDiv w:val="1"/>
      <w:marLeft w:val="0"/>
      <w:marRight w:val="0"/>
      <w:marTop w:val="0"/>
      <w:marBottom w:val="0"/>
      <w:divBdr>
        <w:top w:val="none" w:sz="0" w:space="0" w:color="auto"/>
        <w:left w:val="none" w:sz="0" w:space="0" w:color="auto"/>
        <w:bottom w:val="none" w:sz="0" w:space="0" w:color="auto"/>
        <w:right w:val="none" w:sz="0" w:space="0" w:color="auto"/>
      </w:divBdr>
    </w:div>
    <w:div w:id="963005210">
      <w:bodyDiv w:val="1"/>
      <w:marLeft w:val="0"/>
      <w:marRight w:val="0"/>
      <w:marTop w:val="0"/>
      <w:marBottom w:val="0"/>
      <w:divBdr>
        <w:top w:val="none" w:sz="0" w:space="0" w:color="auto"/>
        <w:left w:val="none" w:sz="0" w:space="0" w:color="auto"/>
        <w:bottom w:val="none" w:sz="0" w:space="0" w:color="auto"/>
        <w:right w:val="none" w:sz="0" w:space="0" w:color="auto"/>
      </w:divBdr>
    </w:div>
    <w:div w:id="975183967">
      <w:bodyDiv w:val="1"/>
      <w:marLeft w:val="0"/>
      <w:marRight w:val="0"/>
      <w:marTop w:val="0"/>
      <w:marBottom w:val="0"/>
      <w:divBdr>
        <w:top w:val="none" w:sz="0" w:space="0" w:color="auto"/>
        <w:left w:val="none" w:sz="0" w:space="0" w:color="auto"/>
        <w:bottom w:val="none" w:sz="0" w:space="0" w:color="auto"/>
        <w:right w:val="none" w:sz="0" w:space="0" w:color="auto"/>
      </w:divBdr>
    </w:div>
    <w:div w:id="1011025636">
      <w:bodyDiv w:val="1"/>
      <w:marLeft w:val="0"/>
      <w:marRight w:val="0"/>
      <w:marTop w:val="0"/>
      <w:marBottom w:val="0"/>
      <w:divBdr>
        <w:top w:val="none" w:sz="0" w:space="0" w:color="auto"/>
        <w:left w:val="none" w:sz="0" w:space="0" w:color="auto"/>
        <w:bottom w:val="none" w:sz="0" w:space="0" w:color="auto"/>
        <w:right w:val="none" w:sz="0" w:space="0" w:color="auto"/>
      </w:divBdr>
    </w:div>
    <w:div w:id="1035498381">
      <w:bodyDiv w:val="1"/>
      <w:marLeft w:val="0"/>
      <w:marRight w:val="0"/>
      <w:marTop w:val="0"/>
      <w:marBottom w:val="0"/>
      <w:divBdr>
        <w:top w:val="none" w:sz="0" w:space="0" w:color="auto"/>
        <w:left w:val="none" w:sz="0" w:space="0" w:color="auto"/>
        <w:bottom w:val="none" w:sz="0" w:space="0" w:color="auto"/>
        <w:right w:val="none" w:sz="0" w:space="0" w:color="auto"/>
      </w:divBdr>
    </w:div>
    <w:div w:id="1038315298">
      <w:bodyDiv w:val="1"/>
      <w:marLeft w:val="0"/>
      <w:marRight w:val="0"/>
      <w:marTop w:val="0"/>
      <w:marBottom w:val="0"/>
      <w:divBdr>
        <w:top w:val="none" w:sz="0" w:space="0" w:color="auto"/>
        <w:left w:val="none" w:sz="0" w:space="0" w:color="auto"/>
        <w:bottom w:val="none" w:sz="0" w:space="0" w:color="auto"/>
        <w:right w:val="none" w:sz="0" w:space="0" w:color="auto"/>
      </w:divBdr>
    </w:div>
    <w:div w:id="1088038256">
      <w:bodyDiv w:val="1"/>
      <w:marLeft w:val="0"/>
      <w:marRight w:val="0"/>
      <w:marTop w:val="0"/>
      <w:marBottom w:val="0"/>
      <w:divBdr>
        <w:top w:val="none" w:sz="0" w:space="0" w:color="auto"/>
        <w:left w:val="none" w:sz="0" w:space="0" w:color="auto"/>
        <w:bottom w:val="none" w:sz="0" w:space="0" w:color="auto"/>
        <w:right w:val="none" w:sz="0" w:space="0" w:color="auto"/>
      </w:divBdr>
    </w:div>
    <w:div w:id="1136947417">
      <w:bodyDiv w:val="1"/>
      <w:marLeft w:val="0"/>
      <w:marRight w:val="0"/>
      <w:marTop w:val="0"/>
      <w:marBottom w:val="0"/>
      <w:divBdr>
        <w:top w:val="none" w:sz="0" w:space="0" w:color="auto"/>
        <w:left w:val="none" w:sz="0" w:space="0" w:color="auto"/>
        <w:bottom w:val="none" w:sz="0" w:space="0" w:color="auto"/>
        <w:right w:val="none" w:sz="0" w:space="0" w:color="auto"/>
      </w:divBdr>
    </w:div>
    <w:div w:id="1141266102">
      <w:bodyDiv w:val="1"/>
      <w:marLeft w:val="0"/>
      <w:marRight w:val="0"/>
      <w:marTop w:val="0"/>
      <w:marBottom w:val="0"/>
      <w:divBdr>
        <w:top w:val="none" w:sz="0" w:space="0" w:color="auto"/>
        <w:left w:val="none" w:sz="0" w:space="0" w:color="auto"/>
        <w:bottom w:val="none" w:sz="0" w:space="0" w:color="auto"/>
        <w:right w:val="none" w:sz="0" w:space="0" w:color="auto"/>
      </w:divBdr>
    </w:div>
    <w:div w:id="1144740443">
      <w:bodyDiv w:val="1"/>
      <w:marLeft w:val="0"/>
      <w:marRight w:val="0"/>
      <w:marTop w:val="0"/>
      <w:marBottom w:val="0"/>
      <w:divBdr>
        <w:top w:val="none" w:sz="0" w:space="0" w:color="auto"/>
        <w:left w:val="none" w:sz="0" w:space="0" w:color="auto"/>
        <w:bottom w:val="none" w:sz="0" w:space="0" w:color="auto"/>
        <w:right w:val="none" w:sz="0" w:space="0" w:color="auto"/>
      </w:divBdr>
    </w:div>
    <w:div w:id="1191802180">
      <w:bodyDiv w:val="1"/>
      <w:marLeft w:val="0"/>
      <w:marRight w:val="0"/>
      <w:marTop w:val="0"/>
      <w:marBottom w:val="0"/>
      <w:divBdr>
        <w:top w:val="none" w:sz="0" w:space="0" w:color="auto"/>
        <w:left w:val="none" w:sz="0" w:space="0" w:color="auto"/>
        <w:bottom w:val="none" w:sz="0" w:space="0" w:color="auto"/>
        <w:right w:val="none" w:sz="0" w:space="0" w:color="auto"/>
      </w:divBdr>
    </w:div>
    <w:div w:id="1209493811">
      <w:bodyDiv w:val="1"/>
      <w:marLeft w:val="0"/>
      <w:marRight w:val="0"/>
      <w:marTop w:val="0"/>
      <w:marBottom w:val="0"/>
      <w:divBdr>
        <w:top w:val="none" w:sz="0" w:space="0" w:color="auto"/>
        <w:left w:val="none" w:sz="0" w:space="0" w:color="auto"/>
        <w:bottom w:val="none" w:sz="0" w:space="0" w:color="auto"/>
        <w:right w:val="none" w:sz="0" w:space="0" w:color="auto"/>
      </w:divBdr>
    </w:div>
    <w:div w:id="1254975026">
      <w:bodyDiv w:val="1"/>
      <w:marLeft w:val="0"/>
      <w:marRight w:val="0"/>
      <w:marTop w:val="0"/>
      <w:marBottom w:val="0"/>
      <w:divBdr>
        <w:top w:val="none" w:sz="0" w:space="0" w:color="auto"/>
        <w:left w:val="none" w:sz="0" w:space="0" w:color="auto"/>
        <w:bottom w:val="none" w:sz="0" w:space="0" w:color="auto"/>
        <w:right w:val="none" w:sz="0" w:space="0" w:color="auto"/>
      </w:divBdr>
    </w:div>
    <w:div w:id="1263492367">
      <w:bodyDiv w:val="1"/>
      <w:marLeft w:val="0"/>
      <w:marRight w:val="0"/>
      <w:marTop w:val="0"/>
      <w:marBottom w:val="0"/>
      <w:divBdr>
        <w:top w:val="none" w:sz="0" w:space="0" w:color="auto"/>
        <w:left w:val="none" w:sz="0" w:space="0" w:color="auto"/>
        <w:bottom w:val="none" w:sz="0" w:space="0" w:color="auto"/>
        <w:right w:val="none" w:sz="0" w:space="0" w:color="auto"/>
      </w:divBdr>
    </w:div>
    <w:div w:id="1266842463">
      <w:bodyDiv w:val="1"/>
      <w:marLeft w:val="0"/>
      <w:marRight w:val="0"/>
      <w:marTop w:val="0"/>
      <w:marBottom w:val="0"/>
      <w:divBdr>
        <w:top w:val="none" w:sz="0" w:space="0" w:color="auto"/>
        <w:left w:val="none" w:sz="0" w:space="0" w:color="auto"/>
        <w:bottom w:val="none" w:sz="0" w:space="0" w:color="auto"/>
        <w:right w:val="none" w:sz="0" w:space="0" w:color="auto"/>
      </w:divBdr>
    </w:div>
    <w:div w:id="1299335693">
      <w:bodyDiv w:val="1"/>
      <w:marLeft w:val="0"/>
      <w:marRight w:val="0"/>
      <w:marTop w:val="0"/>
      <w:marBottom w:val="0"/>
      <w:divBdr>
        <w:top w:val="none" w:sz="0" w:space="0" w:color="auto"/>
        <w:left w:val="none" w:sz="0" w:space="0" w:color="auto"/>
        <w:bottom w:val="none" w:sz="0" w:space="0" w:color="auto"/>
        <w:right w:val="none" w:sz="0" w:space="0" w:color="auto"/>
      </w:divBdr>
    </w:div>
    <w:div w:id="1321737236">
      <w:bodyDiv w:val="1"/>
      <w:marLeft w:val="0"/>
      <w:marRight w:val="0"/>
      <w:marTop w:val="0"/>
      <w:marBottom w:val="0"/>
      <w:divBdr>
        <w:top w:val="none" w:sz="0" w:space="0" w:color="auto"/>
        <w:left w:val="none" w:sz="0" w:space="0" w:color="auto"/>
        <w:bottom w:val="none" w:sz="0" w:space="0" w:color="auto"/>
        <w:right w:val="none" w:sz="0" w:space="0" w:color="auto"/>
      </w:divBdr>
    </w:div>
    <w:div w:id="1325863551">
      <w:bodyDiv w:val="1"/>
      <w:marLeft w:val="0"/>
      <w:marRight w:val="0"/>
      <w:marTop w:val="0"/>
      <w:marBottom w:val="0"/>
      <w:divBdr>
        <w:top w:val="none" w:sz="0" w:space="0" w:color="auto"/>
        <w:left w:val="none" w:sz="0" w:space="0" w:color="auto"/>
        <w:bottom w:val="none" w:sz="0" w:space="0" w:color="auto"/>
        <w:right w:val="none" w:sz="0" w:space="0" w:color="auto"/>
      </w:divBdr>
    </w:div>
    <w:div w:id="1333486485">
      <w:bodyDiv w:val="1"/>
      <w:marLeft w:val="0"/>
      <w:marRight w:val="0"/>
      <w:marTop w:val="0"/>
      <w:marBottom w:val="0"/>
      <w:divBdr>
        <w:top w:val="none" w:sz="0" w:space="0" w:color="auto"/>
        <w:left w:val="none" w:sz="0" w:space="0" w:color="auto"/>
        <w:bottom w:val="none" w:sz="0" w:space="0" w:color="auto"/>
        <w:right w:val="none" w:sz="0" w:space="0" w:color="auto"/>
      </w:divBdr>
    </w:div>
    <w:div w:id="1341588502">
      <w:bodyDiv w:val="1"/>
      <w:marLeft w:val="0"/>
      <w:marRight w:val="0"/>
      <w:marTop w:val="0"/>
      <w:marBottom w:val="0"/>
      <w:divBdr>
        <w:top w:val="none" w:sz="0" w:space="0" w:color="auto"/>
        <w:left w:val="none" w:sz="0" w:space="0" w:color="auto"/>
        <w:bottom w:val="none" w:sz="0" w:space="0" w:color="auto"/>
        <w:right w:val="none" w:sz="0" w:space="0" w:color="auto"/>
      </w:divBdr>
    </w:div>
    <w:div w:id="1357272781">
      <w:bodyDiv w:val="1"/>
      <w:marLeft w:val="0"/>
      <w:marRight w:val="0"/>
      <w:marTop w:val="0"/>
      <w:marBottom w:val="0"/>
      <w:divBdr>
        <w:top w:val="none" w:sz="0" w:space="0" w:color="auto"/>
        <w:left w:val="none" w:sz="0" w:space="0" w:color="auto"/>
        <w:bottom w:val="none" w:sz="0" w:space="0" w:color="auto"/>
        <w:right w:val="none" w:sz="0" w:space="0" w:color="auto"/>
      </w:divBdr>
    </w:div>
    <w:div w:id="1367411004">
      <w:bodyDiv w:val="1"/>
      <w:marLeft w:val="0"/>
      <w:marRight w:val="0"/>
      <w:marTop w:val="0"/>
      <w:marBottom w:val="0"/>
      <w:divBdr>
        <w:top w:val="none" w:sz="0" w:space="0" w:color="auto"/>
        <w:left w:val="none" w:sz="0" w:space="0" w:color="auto"/>
        <w:bottom w:val="none" w:sz="0" w:space="0" w:color="auto"/>
        <w:right w:val="none" w:sz="0" w:space="0" w:color="auto"/>
      </w:divBdr>
    </w:div>
    <w:div w:id="1384871150">
      <w:bodyDiv w:val="1"/>
      <w:marLeft w:val="0"/>
      <w:marRight w:val="0"/>
      <w:marTop w:val="0"/>
      <w:marBottom w:val="0"/>
      <w:divBdr>
        <w:top w:val="none" w:sz="0" w:space="0" w:color="auto"/>
        <w:left w:val="none" w:sz="0" w:space="0" w:color="auto"/>
        <w:bottom w:val="none" w:sz="0" w:space="0" w:color="auto"/>
        <w:right w:val="none" w:sz="0" w:space="0" w:color="auto"/>
      </w:divBdr>
    </w:div>
    <w:div w:id="1387870621">
      <w:bodyDiv w:val="1"/>
      <w:marLeft w:val="0"/>
      <w:marRight w:val="0"/>
      <w:marTop w:val="0"/>
      <w:marBottom w:val="0"/>
      <w:divBdr>
        <w:top w:val="none" w:sz="0" w:space="0" w:color="auto"/>
        <w:left w:val="none" w:sz="0" w:space="0" w:color="auto"/>
        <w:bottom w:val="none" w:sz="0" w:space="0" w:color="auto"/>
        <w:right w:val="none" w:sz="0" w:space="0" w:color="auto"/>
      </w:divBdr>
    </w:div>
    <w:div w:id="1394700604">
      <w:bodyDiv w:val="1"/>
      <w:marLeft w:val="0"/>
      <w:marRight w:val="0"/>
      <w:marTop w:val="0"/>
      <w:marBottom w:val="0"/>
      <w:divBdr>
        <w:top w:val="none" w:sz="0" w:space="0" w:color="auto"/>
        <w:left w:val="none" w:sz="0" w:space="0" w:color="auto"/>
        <w:bottom w:val="none" w:sz="0" w:space="0" w:color="auto"/>
        <w:right w:val="none" w:sz="0" w:space="0" w:color="auto"/>
      </w:divBdr>
    </w:div>
    <w:div w:id="1406226307">
      <w:bodyDiv w:val="1"/>
      <w:marLeft w:val="0"/>
      <w:marRight w:val="0"/>
      <w:marTop w:val="0"/>
      <w:marBottom w:val="0"/>
      <w:divBdr>
        <w:top w:val="none" w:sz="0" w:space="0" w:color="auto"/>
        <w:left w:val="none" w:sz="0" w:space="0" w:color="auto"/>
        <w:bottom w:val="none" w:sz="0" w:space="0" w:color="auto"/>
        <w:right w:val="none" w:sz="0" w:space="0" w:color="auto"/>
      </w:divBdr>
    </w:div>
    <w:div w:id="1422071330">
      <w:bodyDiv w:val="1"/>
      <w:marLeft w:val="0"/>
      <w:marRight w:val="0"/>
      <w:marTop w:val="0"/>
      <w:marBottom w:val="0"/>
      <w:divBdr>
        <w:top w:val="none" w:sz="0" w:space="0" w:color="auto"/>
        <w:left w:val="none" w:sz="0" w:space="0" w:color="auto"/>
        <w:bottom w:val="none" w:sz="0" w:space="0" w:color="auto"/>
        <w:right w:val="none" w:sz="0" w:space="0" w:color="auto"/>
      </w:divBdr>
    </w:div>
    <w:div w:id="1431924036">
      <w:bodyDiv w:val="1"/>
      <w:marLeft w:val="0"/>
      <w:marRight w:val="0"/>
      <w:marTop w:val="0"/>
      <w:marBottom w:val="0"/>
      <w:divBdr>
        <w:top w:val="none" w:sz="0" w:space="0" w:color="auto"/>
        <w:left w:val="none" w:sz="0" w:space="0" w:color="auto"/>
        <w:bottom w:val="none" w:sz="0" w:space="0" w:color="auto"/>
        <w:right w:val="none" w:sz="0" w:space="0" w:color="auto"/>
      </w:divBdr>
    </w:div>
    <w:div w:id="1433697657">
      <w:bodyDiv w:val="1"/>
      <w:marLeft w:val="0"/>
      <w:marRight w:val="0"/>
      <w:marTop w:val="0"/>
      <w:marBottom w:val="0"/>
      <w:divBdr>
        <w:top w:val="none" w:sz="0" w:space="0" w:color="auto"/>
        <w:left w:val="none" w:sz="0" w:space="0" w:color="auto"/>
        <w:bottom w:val="none" w:sz="0" w:space="0" w:color="auto"/>
        <w:right w:val="none" w:sz="0" w:space="0" w:color="auto"/>
      </w:divBdr>
    </w:div>
    <w:div w:id="1435973623">
      <w:bodyDiv w:val="1"/>
      <w:marLeft w:val="0"/>
      <w:marRight w:val="0"/>
      <w:marTop w:val="0"/>
      <w:marBottom w:val="0"/>
      <w:divBdr>
        <w:top w:val="none" w:sz="0" w:space="0" w:color="auto"/>
        <w:left w:val="none" w:sz="0" w:space="0" w:color="auto"/>
        <w:bottom w:val="none" w:sz="0" w:space="0" w:color="auto"/>
        <w:right w:val="none" w:sz="0" w:space="0" w:color="auto"/>
      </w:divBdr>
    </w:div>
    <w:div w:id="1453011029">
      <w:bodyDiv w:val="1"/>
      <w:marLeft w:val="0"/>
      <w:marRight w:val="0"/>
      <w:marTop w:val="0"/>
      <w:marBottom w:val="0"/>
      <w:divBdr>
        <w:top w:val="none" w:sz="0" w:space="0" w:color="auto"/>
        <w:left w:val="none" w:sz="0" w:space="0" w:color="auto"/>
        <w:bottom w:val="none" w:sz="0" w:space="0" w:color="auto"/>
        <w:right w:val="none" w:sz="0" w:space="0" w:color="auto"/>
      </w:divBdr>
    </w:div>
    <w:div w:id="1477066646">
      <w:bodyDiv w:val="1"/>
      <w:marLeft w:val="0"/>
      <w:marRight w:val="0"/>
      <w:marTop w:val="0"/>
      <w:marBottom w:val="0"/>
      <w:divBdr>
        <w:top w:val="none" w:sz="0" w:space="0" w:color="auto"/>
        <w:left w:val="none" w:sz="0" w:space="0" w:color="auto"/>
        <w:bottom w:val="none" w:sz="0" w:space="0" w:color="auto"/>
        <w:right w:val="none" w:sz="0" w:space="0" w:color="auto"/>
      </w:divBdr>
    </w:div>
    <w:div w:id="1477523995">
      <w:bodyDiv w:val="1"/>
      <w:marLeft w:val="0"/>
      <w:marRight w:val="0"/>
      <w:marTop w:val="0"/>
      <w:marBottom w:val="0"/>
      <w:divBdr>
        <w:top w:val="none" w:sz="0" w:space="0" w:color="auto"/>
        <w:left w:val="none" w:sz="0" w:space="0" w:color="auto"/>
        <w:bottom w:val="none" w:sz="0" w:space="0" w:color="auto"/>
        <w:right w:val="none" w:sz="0" w:space="0" w:color="auto"/>
      </w:divBdr>
    </w:div>
    <w:div w:id="1492407103">
      <w:bodyDiv w:val="1"/>
      <w:marLeft w:val="0"/>
      <w:marRight w:val="0"/>
      <w:marTop w:val="0"/>
      <w:marBottom w:val="0"/>
      <w:divBdr>
        <w:top w:val="none" w:sz="0" w:space="0" w:color="auto"/>
        <w:left w:val="none" w:sz="0" w:space="0" w:color="auto"/>
        <w:bottom w:val="none" w:sz="0" w:space="0" w:color="auto"/>
        <w:right w:val="none" w:sz="0" w:space="0" w:color="auto"/>
      </w:divBdr>
    </w:div>
    <w:div w:id="1499225668">
      <w:bodyDiv w:val="1"/>
      <w:marLeft w:val="0"/>
      <w:marRight w:val="0"/>
      <w:marTop w:val="0"/>
      <w:marBottom w:val="0"/>
      <w:divBdr>
        <w:top w:val="none" w:sz="0" w:space="0" w:color="auto"/>
        <w:left w:val="none" w:sz="0" w:space="0" w:color="auto"/>
        <w:bottom w:val="none" w:sz="0" w:space="0" w:color="auto"/>
        <w:right w:val="none" w:sz="0" w:space="0" w:color="auto"/>
      </w:divBdr>
    </w:div>
    <w:div w:id="1514564449">
      <w:bodyDiv w:val="1"/>
      <w:marLeft w:val="0"/>
      <w:marRight w:val="0"/>
      <w:marTop w:val="0"/>
      <w:marBottom w:val="0"/>
      <w:divBdr>
        <w:top w:val="none" w:sz="0" w:space="0" w:color="auto"/>
        <w:left w:val="none" w:sz="0" w:space="0" w:color="auto"/>
        <w:bottom w:val="none" w:sz="0" w:space="0" w:color="auto"/>
        <w:right w:val="none" w:sz="0" w:space="0" w:color="auto"/>
      </w:divBdr>
    </w:div>
    <w:div w:id="1517161038">
      <w:bodyDiv w:val="1"/>
      <w:marLeft w:val="0"/>
      <w:marRight w:val="0"/>
      <w:marTop w:val="0"/>
      <w:marBottom w:val="0"/>
      <w:divBdr>
        <w:top w:val="none" w:sz="0" w:space="0" w:color="auto"/>
        <w:left w:val="none" w:sz="0" w:space="0" w:color="auto"/>
        <w:bottom w:val="none" w:sz="0" w:space="0" w:color="auto"/>
        <w:right w:val="none" w:sz="0" w:space="0" w:color="auto"/>
      </w:divBdr>
    </w:div>
    <w:div w:id="1519781178">
      <w:bodyDiv w:val="1"/>
      <w:marLeft w:val="0"/>
      <w:marRight w:val="0"/>
      <w:marTop w:val="0"/>
      <w:marBottom w:val="0"/>
      <w:divBdr>
        <w:top w:val="none" w:sz="0" w:space="0" w:color="auto"/>
        <w:left w:val="none" w:sz="0" w:space="0" w:color="auto"/>
        <w:bottom w:val="none" w:sz="0" w:space="0" w:color="auto"/>
        <w:right w:val="none" w:sz="0" w:space="0" w:color="auto"/>
      </w:divBdr>
    </w:div>
    <w:div w:id="1526409602">
      <w:bodyDiv w:val="1"/>
      <w:marLeft w:val="0"/>
      <w:marRight w:val="0"/>
      <w:marTop w:val="0"/>
      <w:marBottom w:val="0"/>
      <w:divBdr>
        <w:top w:val="none" w:sz="0" w:space="0" w:color="auto"/>
        <w:left w:val="none" w:sz="0" w:space="0" w:color="auto"/>
        <w:bottom w:val="none" w:sz="0" w:space="0" w:color="auto"/>
        <w:right w:val="none" w:sz="0" w:space="0" w:color="auto"/>
      </w:divBdr>
    </w:div>
    <w:div w:id="1544905537">
      <w:bodyDiv w:val="1"/>
      <w:marLeft w:val="0"/>
      <w:marRight w:val="0"/>
      <w:marTop w:val="0"/>
      <w:marBottom w:val="0"/>
      <w:divBdr>
        <w:top w:val="none" w:sz="0" w:space="0" w:color="auto"/>
        <w:left w:val="none" w:sz="0" w:space="0" w:color="auto"/>
        <w:bottom w:val="none" w:sz="0" w:space="0" w:color="auto"/>
        <w:right w:val="none" w:sz="0" w:space="0" w:color="auto"/>
      </w:divBdr>
    </w:div>
    <w:div w:id="1551771141">
      <w:bodyDiv w:val="1"/>
      <w:marLeft w:val="0"/>
      <w:marRight w:val="0"/>
      <w:marTop w:val="0"/>
      <w:marBottom w:val="0"/>
      <w:divBdr>
        <w:top w:val="none" w:sz="0" w:space="0" w:color="auto"/>
        <w:left w:val="none" w:sz="0" w:space="0" w:color="auto"/>
        <w:bottom w:val="none" w:sz="0" w:space="0" w:color="auto"/>
        <w:right w:val="none" w:sz="0" w:space="0" w:color="auto"/>
      </w:divBdr>
    </w:div>
    <w:div w:id="1558206017">
      <w:bodyDiv w:val="1"/>
      <w:marLeft w:val="0"/>
      <w:marRight w:val="0"/>
      <w:marTop w:val="0"/>
      <w:marBottom w:val="0"/>
      <w:divBdr>
        <w:top w:val="none" w:sz="0" w:space="0" w:color="auto"/>
        <w:left w:val="none" w:sz="0" w:space="0" w:color="auto"/>
        <w:bottom w:val="none" w:sz="0" w:space="0" w:color="auto"/>
        <w:right w:val="none" w:sz="0" w:space="0" w:color="auto"/>
      </w:divBdr>
    </w:div>
    <w:div w:id="1583493225">
      <w:bodyDiv w:val="1"/>
      <w:marLeft w:val="0"/>
      <w:marRight w:val="0"/>
      <w:marTop w:val="0"/>
      <w:marBottom w:val="0"/>
      <w:divBdr>
        <w:top w:val="none" w:sz="0" w:space="0" w:color="auto"/>
        <w:left w:val="none" w:sz="0" w:space="0" w:color="auto"/>
        <w:bottom w:val="none" w:sz="0" w:space="0" w:color="auto"/>
        <w:right w:val="none" w:sz="0" w:space="0" w:color="auto"/>
      </w:divBdr>
    </w:div>
    <w:div w:id="1584415624">
      <w:bodyDiv w:val="1"/>
      <w:marLeft w:val="0"/>
      <w:marRight w:val="0"/>
      <w:marTop w:val="0"/>
      <w:marBottom w:val="0"/>
      <w:divBdr>
        <w:top w:val="none" w:sz="0" w:space="0" w:color="auto"/>
        <w:left w:val="none" w:sz="0" w:space="0" w:color="auto"/>
        <w:bottom w:val="none" w:sz="0" w:space="0" w:color="auto"/>
        <w:right w:val="none" w:sz="0" w:space="0" w:color="auto"/>
      </w:divBdr>
    </w:div>
    <w:div w:id="1660887147">
      <w:bodyDiv w:val="1"/>
      <w:marLeft w:val="0"/>
      <w:marRight w:val="0"/>
      <w:marTop w:val="0"/>
      <w:marBottom w:val="0"/>
      <w:divBdr>
        <w:top w:val="none" w:sz="0" w:space="0" w:color="auto"/>
        <w:left w:val="none" w:sz="0" w:space="0" w:color="auto"/>
        <w:bottom w:val="none" w:sz="0" w:space="0" w:color="auto"/>
        <w:right w:val="none" w:sz="0" w:space="0" w:color="auto"/>
      </w:divBdr>
    </w:div>
    <w:div w:id="1679308266">
      <w:bodyDiv w:val="1"/>
      <w:marLeft w:val="0"/>
      <w:marRight w:val="0"/>
      <w:marTop w:val="0"/>
      <w:marBottom w:val="0"/>
      <w:divBdr>
        <w:top w:val="none" w:sz="0" w:space="0" w:color="auto"/>
        <w:left w:val="none" w:sz="0" w:space="0" w:color="auto"/>
        <w:bottom w:val="none" w:sz="0" w:space="0" w:color="auto"/>
        <w:right w:val="none" w:sz="0" w:space="0" w:color="auto"/>
      </w:divBdr>
    </w:div>
    <w:div w:id="1689523118">
      <w:bodyDiv w:val="1"/>
      <w:marLeft w:val="0"/>
      <w:marRight w:val="0"/>
      <w:marTop w:val="0"/>
      <w:marBottom w:val="0"/>
      <w:divBdr>
        <w:top w:val="none" w:sz="0" w:space="0" w:color="auto"/>
        <w:left w:val="none" w:sz="0" w:space="0" w:color="auto"/>
        <w:bottom w:val="none" w:sz="0" w:space="0" w:color="auto"/>
        <w:right w:val="none" w:sz="0" w:space="0" w:color="auto"/>
      </w:divBdr>
    </w:div>
    <w:div w:id="1694647896">
      <w:bodyDiv w:val="1"/>
      <w:marLeft w:val="0"/>
      <w:marRight w:val="0"/>
      <w:marTop w:val="0"/>
      <w:marBottom w:val="0"/>
      <w:divBdr>
        <w:top w:val="none" w:sz="0" w:space="0" w:color="auto"/>
        <w:left w:val="none" w:sz="0" w:space="0" w:color="auto"/>
        <w:bottom w:val="none" w:sz="0" w:space="0" w:color="auto"/>
        <w:right w:val="none" w:sz="0" w:space="0" w:color="auto"/>
      </w:divBdr>
    </w:div>
    <w:div w:id="1702241628">
      <w:bodyDiv w:val="1"/>
      <w:marLeft w:val="0"/>
      <w:marRight w:val="0"/>
      <w:marTop w:val="0"/>
      <w:marBottom w:val="0"/>
      <w:divBdr>
        <w:top w:val="none" w:sz="0" w:space="0" w:color="auto"/>
        <w:left w:val="none" w:sz="0" w:space="0" w:color="auto"/>
        <w:bottom w:val="none" w:sz="0" w:space="0" w:color="auto"/>
        <w:right w:val="none" w:sz="0" w:space="0" w:color="auto"/>
      </w:divBdr>
    </w:div>
    <w:div w:id="1704289509">
      <w:bodyDiv w:val="1"/>
      <w:marLeft w:val="0"/>
      <w:marRight w:val="0"/>
      <w:marTop w:val="0"/>
      <w:marBottom w:val="0"/>
      <w:divBdr>
        <w:top w:val="none" w:sz="0" w:space="0" w:color="auto"/>
        <w:left w:val="none" w:sz="0" w:space="0" w:color="auto"/>
        <w:bottom w:val="none" w:sz="0" w:space="0" w:color="auto"/>
        <w:right w:val="none" w:sz="0" w:space="0" w:color="auto"/>
      </w:divBdr>
    </w:div>
    <w:div w:id="1715690693">
      <w:bodyDiv w:val="1"/>
      <w:marLeft w:val="0"/>
      <w:marRight w:val="0"/>
      <w:marTop w:val="0"/>
      <w:marBottom w:val="0"/>
      <w:divBdr>
        <w:top w:val="none" w:sz="0" w:space="0" w:color="auto"/>
        <w:left w:val="none" w:sz="0" w:space="0" w:color="auto"/>
        <w:bottom w:val="none" w:sz="0" w:space="0" w:color="auto"/>
        <w:right w:val="none" w:sz="0" w:space="0" w:color="auto"/>
      </w:divBdr>
    </w:div>
    <w:div w:id="1734549310">
      <w:bodyDiv w:val="1"/>
      <w:marLeft w:val="0"/>
      <w:marRight w:val="0"/>
      <w:marTop w:val="0"/>
      <w:marBottom w:val="0"/>
      <w:divBdr>
        <w:top w:val="none" w:sz="0" w:space="0" w:color="auto"/>
        <w:left w:val="none" w:sz="0" w:space="0" w:color="auto"/>
        <w:bottom w:val="none" w:sz="0" w:space="0" w:color="auto"/>
        <w:right w:val="none" w:sz="0" w:space="0" w:color="auto"/>
      </w:divBdr>
    </w:div>
    <w:div w:id="1735346945">
      <w:bodyDiv w:val="1"/>
      <w:marLeft w:val="0"/>
      <w:marRight w:val="0"/>
      <w:marTop w:val="0"/>
      <w:marBottom w:val="0"/>
      <w:divBdr>
        <w:top w:val="none" w:sz="0" w:space="0" w:color="auto"/>
        <w:left w:val="none" w:sz="0" w:space="0" w:color="auto"/>
        <w:bottom w:val="none" w:sz="0" w:space="0" w:color="auto"/>
        <w:right w:val="none" w:sz="0" w:space="0" w:color="auto"/>
      </w:divBdr>
    </w:div>
    <w:div w:id="1737127791">
      <w:bodyDiv w:val="1"/>
      <w:marLeft w:val="0"/>
      <w:marRight w:val="0"/>
      <w:marTop w:val="0"/>
      <w:marBottom w:val="0"/>
      <w:divBdr>
        <w:top w:val="none" w:sz="0" w:space="0" w:color="auto"/>
        <w:left w:val="none" w:sz="0" w:space="0" w:color="auto"/>
        <w:bottom w:val="none" w:sz="0" w:space="0" w:color="auto"/>
        <w:right w:val="none" w:sz="0" w:space="0" w:color="auto"/>
      </w:divBdr>
    </w:div>
    <w:div w:id="1752585162">
      <w:bodyDiv w:val="1"/>
      <w:marLeft w:val="0"/>
      <w:marRight w:val="0"/>
      <w:marTop w:val="0"/>
      <w:marBottom w:val="0"/>
      <w:divBdr>
        <w:top w:val="none" w:sz="0" w:space="0" w:color="auto"/>
        <w:left w:val="none" w:sz="0" w:space="0" w:color="auto"/>
        <w:bottom w:val="none" w:sz="0" w:space="0" w:color="auto"/>
        <w:right w:val="none" w:sz="0" w:space="0" w:color="auto"/>
      </w:divBdr>
    </w:div>
    <w:div w:id="1765497196">
      <w:bodyDiv w:val="1"/>
      <w:marLeft w:val="0"/>
      <w:marRight w:val="0"/>
      <w:marTop w:val="0"/>
      <w:marBottom w:val="0"/>
      <w:divBdr>
        <w:top w:val="none" w:sz="0" w:space="0" w:color="auto"/>
        <w:left w:val="none" w:sz="0" w:space="0" w:color="auto"/>
        <w:bottom w:val="none" w:sz="0" w:space="0" w:color="auto"/>
        <w:right w:val="none" w:sz="0" w:space="0" w:color="auto"/>
      </w:divBdr>
    </w:div>
    <w:div w:id="1786072096">
      <w:bodyDiv w:val="1"/>
      <w:marLeft w:val="0"/>
      <w:marRight w:val="0"/>
      <w:marTop w:val="0"/>
      <w:marBottom w:val="0"/>
      <w:divBdr>
        <w:top w:val="none" w:sz="0" w:space="0" w:color="auto"/>
        <w:left w:val="none" w:sz="0" w:space="0" w:color="auto"/>
        <w:bottom w:val="none" w:sz="0" w:space="0" w:color="auto"/>
        <w:right w:val="none" w:sz="0" w:space="0" w:color="auto"/>
      </w:divBdr>
    </w:div>
    <w:div w:id="1805343521">
      <w:bodyDiv w:val="1"/>
      <w:marLeft w:val="0"/>
      <w:marRight w:val="0"/>
      <w:marTop w:val="0"/>
      <w:marBottom w:val="0"/>
      <w:divBdr>
        <w:top w:val="none" w:sz="0" w:space="0" w:color="auto"/>
        <w:left w:val="none" w:sz="0" w:space="0" w:color="auto"/>
        <w:bottom w:val="none" w:sz="0" w:space="0" w:color="auto"/>
        <w:right w:val="none" w:sz="0" w:space="0" w:color="auto"/>
      </w:divBdr>
    </w:div>
    <w:div w:id="1807159940">
      <w:bodyDiv w:val="1"/>
      <w:marLeft w:val="0"/>
      <w:marRight w:val="0"/>
      <w:marTop w:val="0"/>
      <w:marBottom w:val="0"/>
      <w:divBdr>
        <w:top w:val="none" w:sz="0" w:space="0" w:color="auto"/>
        <w:left w:val="none" w:sz="0" w:space="0" w:color="auto"/>
        <w:bottom w:val="none" w:sz="0" w:space="0" w:color="auto"/>
        <w:right w:val="none" w:sz="0" w:space="0" w:color="auto"/>
      </w:divBdr>
    </w:div>
    <w:div w:id="1819683668">
      <w:bodyDiv w:val="1"/>
      <w:marLeft w:val="0"/>
      <w:marRight w:val="0"/>
      <w:marTop w:val="0"/>
      <w:marBottom w:val="0"/>
      <w:divBdr>
        <w:top w:val="none" w:sz="0" w:space="0" w:color="auto"/>
        <w:left w:val="none" w:sz="0" w:space="0" w:color="auto"/>
        <w:bottom w:val="none" w:sz="0" w:space="0" w:color="auto"/>
        <w:right w:val="none" w:sz="0" w:space="0" w:color="auto"/>
      </w:divBdr>
    </w:div>
    <w:div w:id="1833370821">
      <w:bodyDiv w:val="1"/>
      <w:marLeft w:val="0"/>
      <w:marRight w:val="0"/>
      <w:marTop w:val="0"/>
      <w:marBottom w:val="0"/>
      <w:divBdr>
        <w:top w:val="none" w:sz="0" w:space="0" w:color="auto"/>
        <w:left w:val="none" w:sz="0" w:space="0" w:color="auto"/>
        <w:bottom w:val="none" w:sz="0" w:space="0" w:color="auto"/>
        <w:right w:val="none" w:sz="0" w:space="0" w:color="auto"/>
      </w:divBdr>
    </w:div>
    <w:div w:id="1837650424">
      <w:bodyDiv w:val="1"/>
      <w:marLeft w:val="0"/>
      <w:marRight w:val="0"/>
      <w:marTop w:val="0"/>
      <w:marBottom w:val="0"/>
      <w:divBdr>
        <w:top w:val="none" w:sz="0" w:space="0" w:color="auto"/>
        <w:left w:val="none" w:sz="0" w:space="0" w:color="auto"/>
        <w:bottom w:val="none" w:sz="0" w:space="0" w:color="auto"/>
        <w:right w:val="none" w:sz="0" w:space="0" w:color="auto"/>
      </w:divBdr>
    </w:div>
    <w:div w:id="1851212893">
      <w:bodyDiv w:val="1"/>
      <w:marLeft w:val="0"/>
      <w:marRight w:val="0"/>
      <w:marTop w:val="0"/>
      <w:marBottom w:val="0"/>
      <w:divBdr>
        <w:top w:val="none" w:sz="0" w:space="0" w:color="auto"/>
        <w:left w:val="none" w:sz="0" w:space="0" w:color="auto"/>
        <w:bottom w:val="none" w:sz="0" w:space="0" w:color="auto"/>
        <w:right w:val="none" w:sz="0" w:space="0" w:color="auto"/>
      </w:divBdr>
    </w:div>
    <w:div w:id="1866359558">
      <w:bodyDiv w:val="1"/>
      <w:marLeft w:val="0"/>
      <w:marRight w:val="0"/>
      <w:marTop w:val="0"/>
      <w:marBottom w:val="0"/>
      <w:divBdr>
        <w:top w:val="none" w:sz="0" w:space="0" w:color="auto"/>
        <w:left w:val="none" w:sz="0" w:space="0" w:color="auto"/>
        <w:bottom w:val="none" w:sz="0" w:space="0" w:color="auto"/>
        <w:right w:val="none" w:sz="0" w:space="0" w:color="auto"/>
      </w:divBdr>
    </w:div>
    <w:div w:id="1894073820">
      <w:bodyDiv w:val="1"/>
      <w:marLeft w:val="0"/>
      <w:marRight w:val="0"/>
      <w:marTop w:val="0"/>
      <w:marBottom w:val="0"/>
      <w:divBdr>
        <w:top w:val="none" w:sz="0" w:space="0" w:color="auto"/>
        <w:left w:val="none" w:sz="0" w:space="0" w:color="auto"/>
        <w:bottom w:val="none" w:sz="0" w:space="0" w:color="auto"/>
        <w:right w:val="none" w:sz="0" w:space="0" w:color="auto"/>
      </w:divBdr>
    </w:div>
    <w:div w:id="1912694104">
      <w:bodyDiv w:val="1"/>
      <w:marLeft w:val="0"/>
      <w:marRight w:val="0"/>
      <w:marTop w:val="0"/>
      <w:marBottom w:val="0"/>
      <w:divBdr>
        <w:top w:val="none" w:sz="0" w:space="0" w:color="auto"/>
        <w:left w:val="none" w:sz="0" w:space="0" w:color="auto"/>
        <w:bottom w:val="none" w:sz="0" w:space="0" w:color="auto"/>
        <w:right w:val="none" w:sz="0" w:space="0" w:color="auto"/>
      </w:divBdr>
    </w:div>
    <w:div w:id="1917283401">
      <w:bodyDiv w:val="1"/>
      <w:marLeft w:val="0"/>
      <w:marRight w:val="0"/>
      <w:marTop w:val="0"/>
      <w:marBottom w:val="0"/>
      <w:divBdr>
        <w:top w:val="none" w:sz="0" w:space="0" w:color="auto"/>
        <w:left w:val="none" w:sz="0" w:space="0" w:color="auto"/>
        <w:bottom w:val="none" w:sz="0" w:space="0" w:color="auto"/>
        <w:right w:val="none" w:sz="0" w:space="0" w:color="auto"/>
      </w:divBdr>
    </w:div>
    <w:div w:id="1927692144">
      <w:bodyDiv w:val="1"/>
      <w:marLeft w:val="0"/>
      <w:marRight w:val="0"/>
      <w:marTop w:val="0"/>
      <w:marBottom w:val="0"/>
      <w:divBdr>
        <w:top w:val="none" w:sz="0" w:space="0" w:color="auto"/>
        <w:left w:val="none" w:sz="0" w:space="0" w:color="auto"/>
        <w:bottom w:val="none" w:sz="0" w:space="0" w:color="auto"/>
        <w:right w:val="none" w:sz="0" w:space="0" w:color="auto"/>
      </w:divBdr>
    </w:div>
    <w:div w:id="1933736372">
      <w:bodyDiv w:val="1"/>
      <w:marLeft w:val="0"/>
      <w:marRight w:val="0"/>
      <w:marTop w:val="0"/>
      <w:marBottom w:val="0"/>
      <w:divBdr>
        <w:top w:val="none" w:sz="0" w:space="0" w:color="auto"/>
        <w:left w:val="none" w:sz="0" w:space="0" w:color="auto"/>
        <w:bottom w:val="none" w:sz="0" w:space="0" w:color="auto"/>
        <w:right w:val="none" w:sz="0" w:space="0" w:color="auto"/>
      </w:divBdr>
    </w:div>
    <w:div w:id="1937400293">
      <w:bodyDiv w:val="1"/>
      <w:marLeft w:val="0"/>
      <w:marRight w:val="0"/>
      <w:marTop w:val="0"/>
      <w:marBottom w:val="0"/>
      <w:divBdr>
        <w:top w:val="none" w:sz="0" w:space="0" w:color="auto"/>
        <w:left w:val="none" w:sz="0" w:space="0" w:color="auto"/>
        <w:bottom w:val="none" w:sz="0" w:space="0" w:color="auto"/>
        <w:right w:val="none" w:sz="0" w:space="0" w:color="auto"/>
      </w:divBdr>
    </w:div>
    <w:div w:id="1977753726">
      <w:bodyDiv w:val="1"/>
      <w:marLeft w:val="0"/>
      <w:marRight w:val="0"/>
      <w:marTop w:val="0"/>
      <w:marBottom w:val="0"/>
      <w:divBdr>
        <w:top w:val="none" w:sz="0" w:space="0" w:color="auto"/>
        <w:left w:val="none" w:sz="0" w:space="0" w:color="auto"/>
        <w:bottom w:val="none" w:sz="0" w:space="0" w:color="auto"/>
        <w:right w:val="none" w:sz="0" w:space="0" w:color="auto"/>
      </w:divBdr>
    </w:div>
    <w:div w:id="1978022947">
      <w:bodyDiv w:val="1"/>
      <w:marLeft w:val="0"/>
      <w:marRight w:val="0"/>
      <w:marTop w:val="0"/>
      <w:marBottom w:val="0"/>
      <w:divBdr>
        <w:top w:val="none" w:sz="0" w:space="0" w:color="auto"/>
        <w:left w:val="none" w:sz="0" w:space="0" w:color="auto"/>
        <w:bottom w:val="none" w:sz="0" w:space="0" w:color="auto"/>
        <w:right w:val="none" w:sz="0" w:space="0" w:color="auto"/>
      </w:divBdr>
    </w:div>
    <w:div w:id="1983609668">
      <w:bodyDiv w:val="1"/>
      <w:marLeft w:val="0"/>
      <w:marRight w:val="0"/>
      <w:marTop w:val="0"/>
      <w:marBottom w:val="0"/>
      <w:divBdr>
        <w:top w:val="none" w:sz="0" w:space="0" w:color="auto"/>
        <w:left w:val="none" w:sz="0" w:space="0" w:color="auto"/>
        <w:bottom w:val="none" w:sz="0" w:space="0" w:color="auto"/>
        <w:right w:val="none" w:sz="0" w:space="0" w:color="auto"/>
      </w:divBdr>
    </w:div>
    <w:div w:id="2001304040">
      <w:bodyDiv w:val="1"/>
      <w:marLeft w:val="0"/>
      <w:marRight w:val="0"/>
      <w:marTop w:val="0"/>
      <w:marBottom w:val="0"/>
      <w:divBdr>
        <w:top w:val="none" w:sz="0" w:space="0" w:color="auto"/>
        <w:left w:val="none" w:sz="0" w:space="0" w:color="auto"/>
        <w:bottom w:val="none" w:sz="0" w:space="0" w:color="auto"/>
        <w:right w:val="none" w:sz="0" w:space="0" w:color="auto"/>
      </w:divBdr>
    </w:div>
    <w:div w:id="2005739788">
      <w:bodyDiv w:val="1"/>
      <w:marLeft w:val="0"/>
      <w:marRight w:val="0"/>
      <w:marTop w:val="0"/>
      <w:marBottom w:val="0"/>
      <w:divBdr>
        <w:top w:val="none" w:sz="0" w:space="0" w:color="auto"/>
        <w:left w:val="none" w:sz="0" w:space="0" w:color="auto"/>
        <w:bottom w:val="none" w:sz="0" w:space="0" w:color="auto"/>
        <w:right w:val="none" w:sz="0" w:space="0" w:color="auto"/>
      </w:divBdr>
    </w:div>
    <w:div w:id="2021463266">
      <w:bodyDiv w:val="1"/>
      <w:marLeft w:val="0"/>
      <w:marRight w:val="0"/>
      <w:marTop w:val="0"/>
      <w:marBottom w:val="0"/>
      <w:divBdr>
        <w:top w:val="none" w:sz="0" w:space="0" w:color="auto"/>
        <w:left w:val="none" w:sz="0" w:space="0" w:color="auto"/>
        <w:bottom w:val="none" w:sz="0" w:space="0" w:color="auto"/>
        <w:right w:val="none" w:sz="0" w:space="0" w:color="auto"/>
      </w:divBdr>
    </w:div>
    <w:div w:id="2054110488">
      <w:bodyDiv w:val="1"/>
      <w:marLeft w:val="0"/>
      <w:marRight w:val="0"/>
      <w:marTop w:val="0"/>
      <w:marBottom w:val="0"/>
      <w:divBdr>
        <w:top w:val="none" w:sz="0" w:space="0" w:color="auto"/>
        <w:left w:val="none" w:sz="0" w:space="0" w:color="auto"/>
        <w:bottom w:val="none" w:sz="0" w:space="0" w:color="auto"/>
        <w:right w:val="none" w:sz="0" w:space="0" w:color="auto"/>
      </w:divBdr>
    </w:div>
    <w:div w:id="2084257063">
      <w:bodyDiv w:val="1"/>
      <w:marLeft w:val="0"/>
      <w:marRight w:val="0"/>
      <w:marTop w:val="0"/>
      <w:marBottom w:val="0"/>
      <w:divBdr>
        <w:top w:val="none" w:sz="0" w:space="0" w:color="auto"/>
        <w:left w:val="none" w:sz="0" w:space="0" w:color="auto"/>
        <w:bottom w:val="none" w:sz="0" w:space="0" w:color="auto"/>
        <w:right w:val="none" w:sz="0" w:space="0" w:color="auto"/>
      </w:divBdr>
    </w:div>
    <w:div w:id="2091389555">
      <w:bodyDiv w:val="1"/>
      <w:marLeft w:val="0"/>
      <w:marRight w:val="0"/>
      <w:marTop w:val="0"/>
      <w:marBottom w:val="0"/>
      <w:divBdr>
        <w:top w:val="none" w:sz="0" w:space="0" w:color="auto"/>
        <w:left w:val="none" w:sz="0" w:space="0" w:color="auto"/>
        <w:bottom w:val="none" w:sz="0" w:space="0" w:color="auto"/>
        <w:right w:val="none" w:sz="0" w:space="0" w:color="auto"/>
      </w:divBdr>
    </w:div>
    <w:div w:id="2104377034">
      <w:bodyDiv w:val="1"/>
      <w:marLeft w:val="0"/>
      <w:marRight w:val="0"/>
      <w:marTop w:val="0"/>
      <w:marBottom w:val="0"/>
      <w:divBdr>
        <w:top w:val="none" w:sz="0" w:space="0" w:color="auto"/>
        <w:left w:val="none" w:sz="0" w:space="0" w:color="auto"/>
        <w:bottom w:val="none" w:sz="0" w:space="0" w:color="auto"/>
        <w:right w:val="none" w:sz="0" w:space="0" w:color="auto"/>
      </w:divBdr>
    </w:div>
    <w:div w:id="2129353973">
      <w:bodyDiv w:val="1"/>
      <w:marLeft w:val="0"/>
      <w:marRight w:val="0"/>
      <w:marTop w:val="0"/>
      <w:marBottom w:val="0"/>
      <w:divBdr>
        <w:top w:val="none" w:sz="0" w:space="0" w:color="auto"/>
        <w:left w:val="none" w:sz="0" w:space="0" w:color="auto"/>
        <w:bottom w:val="none" w:sz="0" w:space="0" w:color="auto"/>
        <w:right w:val="none" w:sz="0" w:space="0" w:color="auto"/>
      </w:divBdr>
    </w:div>
    <w:div w:id="214119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oleObject" Target="file:///\\admcarbon\user\jkile\jkile\Documents\NOI%20Claims%20FY.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admcarbon\user\jkile\jkile\Documents\Complaints%20FY.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admcarbon\user\jkile\jkile\Documents\Lump%20Sum%20Settlements%20%20FY%202009.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admcarbon\user\jkile\jkile\Documents\Closed%20Cases%20by%20Stip%20FY.xlsx" TargetMode="External"/><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3" Type="http://schemas.openxmlformats.org/officeDocument/2006/relationships/oleObject" Target="file:///\\admcarbon\user\jkile\jkile\Documents\Cases%20Closed%20Administratively%20FY.xlsx" TargetMode="External"/><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oleObject" Target="file:///\\admcarbon\user\jkile\jkile\Documents\Legal%20Costs%20FY.xlsx" TargetMode="External"/><Relationship Id="rId2" Type="http://schemas.microsoft.com/office/2011/relationships/chartColorStyle" Target="colors4.xml"/><Relationship Id="rId1" Type="http://schemas.microsoft.com/office/2011/relationships/chartStyle" Target="style4.xml"/></Relationships>
</file>

<file path=word/charts/_rels/chart7.xml.rels><?xml version="1.0" encoding="UTF-8" standalone="yes"?>
<Relationships xmlns="http://schemas.openxmlformats.org/package/2006/relationships"><Relationship Id="rId3" Type="http://schemas.openxmlformats.org/officeDocument/2006/relationships/oleObject" Target="file:///\\admcarbon\user\jkile\jkile\Documents\Annual%20Assessment%20from%202009.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1"/>
          <c:tx>
            <c:strRef>
              <c:f>Sheet1!$C$6</c:f>
              <c:strCache>
                <c:ptCount val="1"/>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Sheet1!$A$7:$A$19</c:f>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f>Sheet1!$C$7:$C$19</c:f>
              <c:numCache>
                <c:formatCode>General</c:formatCode>
                <c:ptCount val="13"/>
                <c:pt idx="0">
                  <c:v>63</c:v>
                </c:pt>
                <c:pt idx="1">
                  <c:v>50</c:v>
                </c:pt>
                <c:pt idx="2">
                  <c:v>48</c:v>
                </c:pt>
                <c:pt idx="3">
                  <c:v>50</c:v>
                </c:pt>
                <c:pt idx="4">
                  <c:v>44</c:v>
                </c:pt>
                <c:pt idx="5">
                  <c:v>49</c:v>
                </c:pt>
                <c:pt idx="6">
                  <c:v>41</c:v>
                </c:pt>
                <c:pt idx="7">
                  <c:v>32</c:v>
                </c:pt>
                <c:pt idx="8">
                  <c:v>26</c:v>
                </c:pt>
                <c:pt idx="9">
                  <c:v>39</c:v>
                </c:pt>
                <c:pt idx="10">
                  <c:v>37</c:v>
                </c:pt>
              </c:numCache>
            </c:numRef>
          </c:val>
          <c:smooth val="0"/>
          <c:extLst>
            <c:ext xmlns:c16="http://schemas.microsoft.com/office/drawing/2014/chart" uri="{C3380CC4-5D6E-409C-BE32-E72D297353CC}">
              <c16:uniqueId val="{00000000-4C75-4426-AF39-689BD0E56C44}"/>
            </c:ext>
          </c:extLst>
        </c:ser>
        <c:ser>
          <c:idx val="3"/>
          <c:order val="3"/>
          <c:tx>
            <c:strRef>
              <c:f>Sheet1!$E$6</c:f>
              <c:strCache>
                <c:ptCount val="1"/>
                <c:pt idx="0">
                  <c:v>Notice of Intent Filings   FY</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Sheet1!$A$7:$A$19</c:f>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f>Sheet1!$E$7:$E$19</c:f>
              <c:numCache>
                <c:formatCode>General</c:formatCode>
                <c:ptCount val="13"/>
              </c:numCache>
            </c:numRef>
          </c:val>
          <c:smooth val="0"/>
          <c:extLst>
            <c:ext xmlns:c16="http://schemas.microsoft.com/office/drawing/2014/chart" uri="{C3380CC4-5D6E-409C-BE32-E72D297353CC}">
              <c16:uniqueId val="{00000001-4C75-4426-AF39-689BD0E56C44}"/>
            </c:ext>
          </c:extLst>
        </c:ser>
        <c:dLbls>
          <c:showLegendKey val="0"/>
          <c:showVal val="0"/>
          <c:showCatName val="0"/>
          <c:showSerName val="0"/>
          <c:showPercent val="0"/>
          <c:showBubbleSize val="0"/>
        </c:dLbls>
        <c:marker val="1"/>
        <c:smooth val="0"/>
        <c:axId val="611768800"/>
        <c:axId val="611770768"/>
        <c:extLst>
          <c:ext xmlns:c15="http://schemas.microsoft.com/office/drawing/2012/chart" uri="{02D57815-91ED-43cb-92C2-25804820EDAC}">
            <c15:filteredLineSeries>
              <c15:ser>
                <c:idx val="0"/>
                <c:order val="0"/>
                <c:tx>
                  <c:strRef>
                    <c:extLst>
                      <c:ext uri="{02D57815-91ED-43cb-92C2-25804820EDAC}">
                        <c15:formulaRef>
                          <c15:sqref>Sheet1!$B$6</c15:sqref>
                        </c15:formulaRef>
                      </c:ext>
                    </c:extLst>
                    <c:strCache>
                      <c:ptCount val="1"/>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extLst>
                      <c:ext uri="{02D57815-91ED-43cb-92C2-25804820EDAC}">
                        <c15:formulaRef>
                          <c15:sqref>Sheet1!$A$7:$A$19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c:ext uri="{02D57815-91ED-43cb-92C2-25804820EDAC}">
                        <c15:formulaRef>
                          <c15:sqref>Sheet1!$B$7:$B$19</c15:sqref>
                        </c15:formulaRef>
                      </c:ext>
                    </c:extLst>
                    <c:numCache>
                      <c:formatCode>General</c:formatCode>
                      <c:ptCount val="13"/>
                    </c:numCache>
                  </c:numRef>
                </c:val>
                <c:smooth val="0"/>
                <c:extLst>
                  <c:ext xmlns:c16="http://schemas.microsoft.com/office/drawing/2014/chart" uri="{C3380CC4-5D6E-409C-BE32-E72D297353CC}">
                    <c16:uniqueId val="{00000002-4C75-4426-AF39-689BD0E56C44}"/>
                  </c:ext>
                </c:extLst>
              </c15:ser>
            </c15:filteredLineSeries>
            <c15:filteredLineSeries>
              <c15:ser>
                <c:idx val="2"/>
                <c:order val="2"/>
                <c:tx>
                  <c:strRef>
                    <c:extLst xmlns:c15="http://schemas.microsoft.com/office/drawing/2012/chart">
                      <c:ext xmlns:c15="http://schemas.microsoft.com/office/drawing/2012/chart" uri="{02D57815-91ED-43cb-92C2-25804820EDAC}">
                        <c15:formulaRef>
                          <c15:sqref>Sheet1!$D$6</c15:sqref>
                        </c15:formulaRef>
                      </c:ext>
                    </c:extLst>
                    <c:strCache>
                      <c:ptCount val="1"/>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Sheet1!$D$7:$D$19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3-4C75-4426-AF39-689BD0E56C44}"/>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Sheet1!$F$6</c15:sqref>
                        </c15:formulaRef>
                      </c:ext>
                    </c:extLst>
                    <c:strCache>
                      <c:ptCount val="1"/>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Sheet1!$F$7:$F$19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4-4C75-4426-AF39-689BD0E56C44}"/>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Sheet1!$G$6</c15:sqref>
                        </c15:formulaRef>
                      </c:ext>
                    </c:extLst>
                    <c:strCache>
                      <c:ptCount val="1"/>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Sheet1!$G$7:$G$19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5-4C75-4426-AF39-689BD0E56C44}"/>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Sheet1!$H$6</c15:sqref>
                        </c15:formulaRef>
                      </c:ext>
                    </c:extLst>
                    <c:strCache>
                      <c:ptCount val="1"/>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Sheet1!$H$7:$H$19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6-4C75-4426-AF39-689BD0E56C44}"/>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Sheet1!$I$6</c15:sqref>
                        </c15:formulaRef>
                      </c:ext>
                    </c:extLst>
                    <c:strCache>
                      <c:ptCount val="1"/>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Sheet1!$I$7:$I$19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7-4C75-4426-AF39-689BD0E56C44}"/>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Sheet1!$J$6</c15:sqref>
                        </c15:formulaRef>
                      </c:ext>
                    </c:extLst>
                    <c:strCache>
                      <c:ptCount val="1"/>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Sheet1!$J$7:$J$19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8-4C75-4426-AF39-689BD0E56C44}"/>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Sheet1!$K$6</c15:sqref>
                        </c15:formulaRef>
                      </c:ext>
                    </c:extLst>
                    <c:strCache>
                      <c:ptCount val="1"/>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Sheet1!$A$7:$A$19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Sheet1!$K$7:$K$19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9-4C75-4426-AF39-689BD0E56C44}"/>
                  </c:ext>
                </c:extLst>
              </c15:ser>
            </c15:filteredLineSeries>
          </c:ext>
        </c:extLst>
      </c:lineChart>
      <c:catAx>
        <c:axId val="611768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1770768"/>
        <c:crosses val="autoZero"/>
        <c:auto val="1"/>
        <c:lblAlgn val="ctr"/>
        <c:lblOffset val="100"/>
        <c:noMultiLvlLbl val="0"/>
      </c:catAx>
      <c:valAx>
        <c:axId val="6117707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17688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Sheet1!$B$6</c:f>
              <c:strCache>
                <c:ptCount val="1"/>
                <c:pt idx="0">
                  <c:v>                   Complaint Filings  FY</c:v>
                </c:pt>
              </c:strCache>
            </c:strRef>
          </c:tx>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Sheet1!$B$7:$B$18</c:f>
              <c:numCache>
                <c:formatCode>General</c:formatCode>
                <c:ptCount val="12"/>
                <c:pt idx="0">
                  <c:v>41</c:v>
                </c:pt>
                <c:pt idx="1">
                  <c:v>21</c:v>
                </c:pt>
                <c:pt idx="2">
                  <c:v>42</c:v>
                </c:pt>
                <c:pt idx="3">
                  <c:v>32</c:v>
                </c:pt>
                <c:pt idx="4">
                  <c:v>41</c:v>
                </c:pt>
                <c:pt idx="5">
                  <c:v>32</c:v>
                </c:pt>
                <c:pt idx="6">
                  <c:v>37</c:v>
                </c:pt>
                <c:pt idx="7">
                  <c:v>20</c:v>
                </c:pt>
                <c:pt idx="8">
                  <c:v>28</c:v>
                </c:pt>
                <c:pt idx="9">
                  <c:v>32</c:v>
                </c:pt>
                <c:pt idx="10">
                  <c:v>33</c:v>
                </c:pt>
              </c:numCache>
            </c:numRef>
          </c:val>
          <c:smooth val="0"/>
          <c:extLst>
            <c:ext xmlns:c16="http://schemas.microsoft.com/office/drawing/2014/chart" uri="{C3380CC4-5D6E-409C-BE32-E72D297353CC}">
              <c16:uniqueId val="{00000000-302E-4552-937F-569951210CB6}"/>
            </c:ext>
          </c:extLst>
        </c:ser>
        <c:ser>
          <c:idx val="1"/>
          <c:order val="1"/>
          <c:tx>
            <c:strRef>
              <c:f>Sheet1!$C$6</c:f>
              <c:strCache>
                <c:ptCount val="1"/>
              </c:strCache>
            </c:strRef>
          </c:tx>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Sheet1!$C$7:$C$18</c:f>
            </c:numRef>
          </c:val>
          <c:smooth val="0"/>
          <c:extLst>
            <c:ext xmlns:c16="http://schemas.microsoft.com/office/drawing/2014/chart" uri="{C3380CC4-5D6E-409C-BE32-E72D297353CC}">
              <c16:uniqueId val="{00000001-302E-4552-937F-569951210CB6}"/>
            </c:ext>
          </c:extLst>
        </c:ser>
        <c:ser>
          <c:idx val="2"/>
          <c:order val="2"/>
          <c:tx>
            <c:strRef>
              <c:f>Sheet1!$D$6</c:f>
              <c:strCache>
                <c:ptCount val="1"/>
                <c:pt idx="0">
                  <c:v>              Complaint Filings   FY</c:v>
                </c:pt>
              </c:strCache>
            </c:strRef>
          </c:tx>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Sheet1!$D$7:$D$18</c:f>
              <c:numCache>
                <c:formatCode>General</c:formatCode>
                <c:ptCount val="12"/>
              </c:numCache>
            </c:numRef>
          </c:val>
          <c:smooth val="0"/>
          <c:extLst>
            <c:ext xmlns:c16="http://schemas.microsoft.com/office/drawing/2014/chart" uri="{C3380CC4-5D6E-409C-BE32-E72D297353CC}">
              <c16:uniqueId val="{00000002-302E-4552-937F-569951210CB6}"/>
            </c:ext>
          </c:extLst>
        </c:ser>
        <c:ser>
          <c:idx val="3"/>
          <c:order val="3"/>
          <c:tx>
            <c:strRef>
              <c:f>Sheet1!$E$6</c:f>
              <c:strCache>
                <c:ptCount val="1"/>
              </c:strCache>
            </c:strRef>
          </c:tx>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Sheet1!$E$7:$E$18</c:f>
              <c:numCache>
                <c:formatCode>General</c:formatCode>
                <c:ptCount val="12"/>
              </c:numCache>
            </c:numRef>
          </c:val>
          <c:smooth val="0"/>
          <c:extLst>
            <c:ext xmlns:c16="http://schemas.microsoft.com/office/drawing/2014/chart" uri="{C3380CC4-5D6E-409C-BE32-E72D297353CC}">
              <c16:uniqueId val="{00000003-302E-4552-937F-569951210CB6}"/>
            </c:ext>
          </c:extLst>
        </c:ser>
        <c:ser>
          <c:idx val="4"/>
          <c:order val="4"/>
          <c:tx>
            <c:strRef>
              <c:f>Sheet1!$F$6</c:f>
              <c:strCache>
                <c:ptCount val="1"/>
              </c:strCache>
            </c:strRef>
          </c:tx>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Sheet1!$F$7:$F$18</c:f>
              <c:numCache>
                <c:formatCode>General</c:formatCode>
                <c:ptCount val="12"/>
              </c:numCache>
            </c:numRef>
          </c:val>
          <c:smooth val="0"/>
          <c:extLst>
            <c:ext xmlns:c16="http://schemas.microsoft.com/office/drawing/2014/chart" uri="{C3380CC4-5D6E-409C-BE32-E72D297353CC}">
              <c16:uniqueId val="{00000004-302E-4552-937F-569951210CB6}"/>
            </c:ext>
          </c:extLst>
        </c:ser>
        <c:ser>
          <c:idx val="5"/>
          <c:order val="5"/>
          <c:tx>
            <c:strRef>
              <c:f>Sheet1!$G$6</c:f>
              <c:strCache>
                <c:ptCount val="1"/>
              </c:strCache>
            </c:strRef>
          </c:tx>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Sheet1!$G$7:$G$18</c:f>
              <c:numCache>
                <c:formatCode>General</c:formatCode>
                <c:ptCount val="12"/>
              </c:numCache>
            </c:numRef>
          </c:val>
          <c:smooth val="0"/>
          <c:extLst>
            <c:ext xmlns:c16="http://schemas.microsoft.com/office/drawing/2014/chart" uri="{C3380CC4-5D6E-409C-BE32-E72D297353CC}">
              <c16:uniqueId val="{00000005-302E-4552-937F-569951210CB6}"/>
            </c:ext>
          </c:extLst>
        </c:ser>
        <c:ser>
          <c:idx val="6"/>
          <c:order val="6"/>
          <c:tx>
            <c:strRef>
              <c:f>Sheet1!$H$6</c:f>
              <c:strCache>
                <c:ptCount val="1"/>
              </c:strCache>
            </c:strRef>
          </c:tx>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Sheet1!$H$7:$H$18</c:f>
              <c:numCache>
                <c:formatCode>General</c:formatCode>
                <c:ptCount val="12"/>
              </c:numCache>
            </c:numRef>
          </c:val>
          <c:smooth val="0"/>
          <c:extLst>
            <c:ext xmlns:c16="http://schemas.microsoft.com/office/drawing/2014/chart" uri="{C3380CC4-5D6E-409C-BE32-E72D297353CC}">
              <c16:uniqueId val="{00000006-302E-4552-937F-569951210CB6}"/>
            </c:ext>
          </c:extLst>
        </c:ser>
        <c:ser>
          <c:idx val="7"/>
          <c:order val="7"/>
          <c:tx>
            <c:strRef>
              <c:f>Sheet1!$I$6</c:f>
              <c:strCache>
                <c:ptCount val="1"/>
              </c:strCache>
            </c:strRef>
          </c:tx>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Sheet1!$I$7:$I$18</c:f>
              <c:numCache>
                <c:formatCode>General</c:formatCode>
                <c:ptCount val="12"/>
              </c:numCache>
            </c:numRef>
          </c:val>
          <c:smooth val="0"/>
          <c:extLst>
            <c:ext xmlns:c16="http://schemas.microsoft.com/office/drawing/2014/chart" uri="{C3380CC4-5D6E-409C-BE32-E72D297353CC}">
              <c16:uniqueId val="{00000007-302E-4552-937F-569951210CB6}"/>
            </c:ext>
          </c:extLst>
        </c:ser>
        <c:ser>
          <c:idx val="8"/>
          <c:order val="8"/>
          <c:tx>
            <c:strRef>
              <c:f>Sheet1!$J$6</c:f>
              <c:strCache>
                <c:ptCount val="1"/>
              </c:strCache>
            </c:strRef>
          </c:tx>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Sheet1!$J$7:$J$18</c:f>
              <c:numCache>
                <c:formatCode>General</c:formatCode>
                <c:ptCount val="12"/>
              </c:numCache>
            </c:numRef>
          </c:val>
          <c:smooth val="0"/>
          <c:extLst>
            <c:ext xmlns:c16="http://schemas.microsoft.com/office/drawing/2014/chart" uri="{C3380CC4-5D6E-409C-BE32-E72D297353CC}">
              <c16:uniqueId val="{00000008-302E-4552-937F-569951210CB6}"/>
            </c:ext>
          </c:extLst>
        </c:ser>
        <c:ser>
          <c:idx val="9"/>
          <c:order val="9"/>
          <c:tx>
            <c:strRef>
              <c:f>Sheet1!$K$6</c:f>
              <c:strCache>
                <c:ptCount val="1"/>
              </c:strCache>
            </c:strRef>
          </c:tx>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Sheet1!$K$7:$K$18</c:f>
              <c:numCache>
                <c:formatCode>General</c:formatCode>
                <c:ptCount val="12"/>
              </c:numCache>
            </c:numRef>
          </c:val>
          <c:smooth val="0"/>
          <c:extLst>
            <c:ext xmlns:c16="http://schemas.microsoft.com/office/drawing/2014/chart" uri="{C3380CC4-5D6E-409C-BE32-E72D297353CC}">
              <c16:uniqueId val="{00000009-302E-4552-937F-569951210CB6}"/>
            </c:ext>
          </c:extLst>
        </c:ser>
        <c:ser>
          <c:idx val="10"/>
          <c:order val="10"/>
          <c:tx>
            <c:strRef>
              <c:f>Sheet1!$L$6</c:f>
              <c:strCache>
                <c:ptCount val="1"/>
              </c:strCache>
            </c:strRef>
          </c:tx>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Sheet1!$L$7:$L$18</c:f>
              <c:numCache>
                <c:formatCode>General</c:formatCode>
                <c:ptCount val="12"/>
              </c:numCache>
            </c:numRef>
          </c:val>
          <c:smooth val="0"/>
          <c:extLst>
            <c:ext xmlns:c16="http://schemas.microsoft.com/office/drawing/2014/chart" uri="{C3380CC4-5D6E-409C-BE32-E72D297353CC}">
              <c16:uniqueId val="{0000000A-302E-4552-937F-569951210CB6}"/>
            </c:ext>
          </c:extLst>
        </c:ser>
        <c:dLbls>
          <c:showLegendKey val="0"/>
          <c:showVal val="0"/>
          <c:showCatName val="0"/>
          <c:showSerName val="0"/>
          <c:showPercent val="0"/>
          <c:showBubbleSize val="0"/>
        </c:dLbls>
        <c:marker val="1"/>
        <c:smooth val="0"/>
        <c:axId val="39813120"/>
        <c:axId val="39814656"/>
      </c:lineChart>
      <c:catAx>
        <c:axId val="39813120"/>
        <c:scaling>
          <c:orientation val="minMax"/>
        </c:scaling>
        <c:delete val="0"/>
        <c:axPos val="b"/>
        <c:numFmt formatCode="General" sourceLinked="1"/>
        <c:majorTickMark val="out"/>
        <c:minorTickMark val="none"/>
        <c:tickLblPos val="nextTo"/>
        <c:txPr>
          <a:bodyPr/>
          <a:lstStyle/>
          <a:p>
            <a:pPr>
              <a:defRPr sz="900"/>
            </a:pPr>
            <a:endParaRPr lang="en-US"/>
          </a:p>
        </c:txPr>
        <c:crossAx val="39814656"/>
        <c:crosses val="autoZero"/>
        <c:auto val="1"/>
        <c:lblAlgn val="ctr"/>
        <c:lblOffset val="100"/>
        <c:noMultiLvlLbl val="0"/>
      </c:catAx>
      <c:valAx>
        <c:axId val="39814656"/>
        <c:scaling>
          <c:orientation val="minMax"/>
        </c:scaling>
        <c:delete val="0"/>
        <c:axPos val="l"/>
        <c:majorGridlines/>
        <c:numFmt formatCode="General" sourceLinked="1"/>
        <c:majorTickMark val="out"/>
        <c:minorTickMark val="none"/>
        <c:tickLblPos val="nextTo"/>
        <c:txPr>
          <a:bodyPr/>
          <a:lstStyle/>
          <a:p>
            <a:pPr>
              <a:defRPr sz="900"/>
            </a:pPr>
            <a:endParaRPr lang="en-US"/>
          </a:p>
        </c:txPr>
        <c:crossAx val="39813120"/>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Sheet1!$C$5</c:f>
              <c:strCache>
                <c:ptCount val="1"/>
                <c:pt idx="0">
                  <c:v>                          Lump Sum Settlements  FY</c:v>
                </c:pt>
              </c:strCache>
            </c:strRef>
          </c:tx>
          <c:cat>
            <c:strRef>
              <c:f>Sheet1!$A$6:$B$16</c:f>
              <c:strCache>
                <c:ptCount val="11"/>
                <c:pt idx="0">
                  <c:v>2009</c:v>
                </c:pt>
                <c:pt idx="1">
                  <c:v>10</c:v>
                </c:pt>
                <c:pt idx="2">
                  <c:v>11</c:v>
                </c:pt>
                <c:pt idx="3">
                  <c:v>12</c:v>
                </c:pt>
                <c:pt idx="4">
                  <c:v>13</c:v>
                </c:pt>
                <c:pt idx="5">
                  <c:v>14</c:v>
                </c:pt>
                <c:pt idx="6">
                  <c:v>15</c:v>
                </c:pt>
                <c:pt idx="7">
                  <c:v>16</c:v>
                </c:pt>
                <c:pt idx="8">
                  <c:v>17</c:v>
                </c:pt>
                <c:pt idx="9">
                  <c:v>18</c:v>
                </c:pt>
                <c:pt idx="10">
                  <c:v>19</c:v>
                </c:pt>
              </c:strCache>
            </c:strRef>
          </c:cat>
          <c:val>
            <c:numRef>
              <c:f>Sheet1!$C$6:$C$16</c:f>
              <c:numCache>
                <c:formatCode>#,##0</c:formatCode>
                <c:ptCount val="11"/>
                <c:pt idx="0">
                  <c:v>997703</c:v>
                </c:pt>
                <c:pt idx="1">
                  <c:v>1403740</c:v>
                </c:pt>
                <c:pt idx="2">
                  <c:v>1220574</c:v>
                </c:pt>
                <c:pt idx="3">
                  <c:v>967283</c:v>
                </c:pt>
                <c:pt idx="4">
                  <c:v>1158971</c:v>
                </c:pt>
                <c:pt idx="5">
                  <c:v>889300</c:v>
                </c:pt>
                <c:pt idx="6">
                  <c:v>852800</c:v>
                </c:pt>
                <c:pt idx="7">
                  <c:v>820000</c:v>
                </c:pt>
                <c:pt idx="8">
                  <c:v>357250</c:v>
                </c:pt>
                <c:pt idx="9">
                  <c:v>315200</c:v>
                </c:pt>
                <c:pt idx="10">
                  <c:v>391835</c:v>
                </c:pt>
              </c:numCache>
            </c:numRef>
          </c:val>
          <c:smooth val="0"/>
          <c:extLst>
            <c:ext xmlns:c16="http://schemas.microsoft.com/office/drawing/2014/chart" uri="{C3380CC4-5D6E-409C-BE32-E72D297353CC}">
              <c16:uniqueId val="{00000000-B41A-4B13-8345-18658CA954D8}"/>
            </c:ext>
          </c:extLst>
        </c:ser>
        <c:ser>
          <c:idx val="1"/>
          <c:order val="1"/>
          <c:tx>
            <c:strRef>
              <c:f>Sheet1!$D$5</c:f>
              <c:strCache>
                <c:ptCount val="1"/>
              </c:strCache>
            </c:strRef>
          </c:tx>
          <c:cat>
            <c:strRef>
              <c:f>Sheet1!$A$6:$B$16</c:f>
              <c:strCache>
                <c:ptCount val="11"/>
                <c:pt idx="0">
                  <c:v>2009</c:v>
                </c:pt>
                <c:pt idx="1">
                  <c:v>10</c:v>
                </c:pt>
                <c:pt idx="2">
                  <c:v>11</c:v>
                </c:pt>
                <c:pt idx="3">
                  <c:v>12</c:v>
                </c:pt>
                <c:pt idx="4">
                  <c:v>13</c:v>
                </c:pt>
                <c:pt idx="5">
                  <c:v>14</c:v>
                </c:pt>
                <c:pt idx="6">
                  <c:v>15</c:v>
                </c:pt>
                <c:pt idx="7">
                  <c:v>16</c:v>
                </c:pt>
                <c:pt idx="8">
                  <c:v>17</c:v>
                </c:pt>
                <c:pt idx="9">
                  <c:v>18</c:v>
                </c:pt>
                <c:pt idx="10">
                  <c:v>19</c:v>
                </c:pt>
              </c:strCache>
            </c:strRef>
          </c:cat>
          <c:val>
            <c:numRef>
              <c:f>Sheet1!$D$6:$D$16</c:f>
              <c:numCache>
                <c:formatCode>General</c:formatCode>
                <c:ptCount val="11"/>
              </c:numCache>
            </c:numRef>
          </c:val>
          <c:smooth val="0"/>
          <c:extLst>
            <c:ext xmlns:c16="http://schemas.microsoft.com/office/drawing/2014/chart" uri="{C3380CC4-5D6E-409C-BE32-E72D297353CC}">
              <c16:uniqueId val="{00000001-B41A-4B13-8345-18658CA954D8}"/>
            </c:ext>
          </c:extLst>
        </c:ser>
        <c:ser>
          <c:idx val="2"/>
          <c:order val="2"/>
          <c:tx>
            <c:strRef>
              <c:f>Sheet1!$E$5</c:f>
              <c:strCache>
                <c:ptCount val="1"/>
              </c:strCache>
            </c:strRef>
          </c:tx>
          <c:cat>
            <c:strRef>
              <c:f>Sheet1!$A$6:$B$16</c:f>
              <c:strCache>
                <c:ptCount val="11"/>
                <c:pt idx="0">
                  <c:v>2009</c:v>
                </c:pt>
                <c:pt idx="1">
                  <c:v>10</c:v>
                </c:pt>
                <c:pt idx="2">
                  <c:v>11</c:v>
                </c:pt>
                <c:pt idx="3">
                  <c:v>12</c:v>
                </c:pt>
                <c:pt idx="4">
                  <c:v>13</c:v>
                </c:pt>
                <c:pt idx="5">
                  <c:v>14</c:v>
                </c:pt>
                <c:pt idx="6">
                  <c:v>15</c:v>
                </c:pt>
                <c:pt idx="7">
                  <c:v>16</c:v>
                </c:pt>
                <c:pt idx="8">
                  <c:v>17</c:v>
                </c:pt>
                <c:pt idx="9">
                  <c:v>18</c:v>
                </c:pt>
                <c:pt idx="10">
                  <c:v>19</c:v>
                </c:pt>
              </c:strCache>
            </c:strRef>
          </c:cat>
          <c:val>
            <c:numRef>
              <c:f>Sheet1!$E$6:$E$16</c:f>
              <c:numCache>
                <c:formatCode>General</c:formatCode>
                <c:ptCount val="11"/>
              </c:numCache>
            </c:numRef>
          </c:val>
          <c:smooth val="0"/>
          <c:extLst>
            <c:ext xmlns:c16="http://schemas.microsoft.com/office/drawing/2014/chart" uri="{C3380CC4-5D6E-409C-BE32-E72D297353CC}">
              <c16:uniqueId val="{00000002-B41A-4B13-8345-18658CA954D8}"/>
            </c:ext>
          </c:extLst>
        </c:ser>
        <c:ser>
          <c:idx val="3"/>
          <c:order val="3"/>
          <c:tx>
            <c:strRef>
              <c:f>Sheet1!$F$5</c:f>
              <c:strCache>
                <c:ptCount val="1"/>
              </c:strCache>
            </c:strRef>
          </c:tx>
          <c:cat>
            <c:strRef>
              <c:f>Sheet1!$A$6:$B$16</c:f>
              <c:strCache>
                <c:ptCount val="11"/>
                <c:pt idx="0">
                  <c:v>2009</c:v>
                </c:pt>
                <c:pt idx="1">
                  <c:v>10</c:v>
                </c:pt>
                <c:pt idx="2">
                  <c:v>11</c:v>
                </c:pt>
                <c:pt idx="3">
                  <c:v>12</c:v>
                </c:pt>
                <c:pt idx="4">
                  <c:v>13</c:v>
                </c:pt>
                <c:pt idx="5">
                  <c:v>14</c:v>
                </c:pt>
                <c:pt idx="6">
                  <c:v>15</c:v>
                </c:pt>
                <c:pt idx="7">
                  <c:v>16</c:v>
                </c:pt>
                <c:pt idx="8">
                  <c:v>17</c:v>
                </c:pt>
                <c:pt idx="9">
                  <c:v>18</c:v>
                </c:pt>
                <c:pt idx="10">
                  <c:v>19</c:v>
                </c:pt>
              </c:strCache>
            </c:strRef>
          </c:cat>
          <c:val>
            <c:numRef>
              <c:f>Sheet1!$F$6:$F$16</c:f>
              <c:numCache>
                <c:formatCode>General</c:formatCode>
                <c:ptCount val="11"/>
              </c:numCache>
            </c:numRef>
          </c:val>
          <c:smooth val="0"/>
          <c:extLst>
            <c:ext xmlns:c16="http://schemas.microsoft.com/office/drawing/2014/chart" uri="{C3380CC4-5D6E-409C-BE32-E72D297353CC}">
              <c16:uniqueId val="{00000003-B41A-4B13-8345-18658CA954D8}"/>
            </c:ext>
          </c:extLst>
        </c:ser>
        <c:ser>
          <c:idx val="4"/>
          <c:order val="4"/>
          <c:tx>
            <c:strRef>
              <c:f>Sheet1!$G$5</c:f>
              <c:strCache>
                <c:ptCount val="1"/>
              </c:strCache>
            </c:strRef>
          </c:tx>
          <c:cat>
            <c:strRef>
              <c:f>Sheet1!$A$6:$B$16</c:f>
              <c:strCache>
                <c:ptCount val="11"/>
                <c:pt idx="0">
                  <c:v>2009</c:v>
                </c:pt>
                <c:pt idx="1">
                  <c:v>10</c:v>
                </c:pt>
                <c:pt idx="2">
                  <c:v>11</c:v>
                </c:pt>
                <c:pt idx="3">
                  <c:v>12</c:v>
                </c:pt>
                <c:pt idx="4">
                  <c:v>13</c:v>
                </c:pt>
                <c:pt idx="5">
                  <c:v>14</c:v>
                </c:pt>
                <c:pt idx="6">
                  <c:v>15</c:v>
                </c:pt>
                <c:pt idx="7">
                  <c:v>16</c:v>
                </c:pt>
                <c:pt idx="8">
                  <c:v>17</c:v>
                </c:pt>
                <c:pt idx="9">
                  <c:v>18</c:v>
                </c:pt>
                <c:pt idx="10">
                  <c:v>19</c:v>
                </c:pt>
              </c:strCache>
            </c:strRef>
          </c:cat>
          <c:val>
            <c:numRef>
              <c:f>Sheet1!$G$6:$G$16</c:f>
              <c:numCache>
                <c:formatCode>General</c:formatCode>
                <c:ptCount val="11"/>
              </c:numCache>
            </c:numRef>
          </c:val>
          <c:smooth val="0"/>
          <c:extLst>
            <c:ext xmlns:c16="http://schemas.microsoft.com/office/drawing/2014/chart" uri="{C3380CC4-5D6E-409C-BE32-E72D297353CC}">
              <c16:uniqueId val="{00000004-B41A-4B13-8345-18658CA954D8}"/>
            </c:ext>
          </c:extLst>
        </c:ser>
        <c:ser>
          <c:idx val="5"/>
          <c:order val="5"/>
          <c:tx>
            <c:strRef>
              <c:f>Sheet1!$H$5</c:f>
              <c:strCache>
                <c:ptCount val="1"/>
              </c:strCache>
            </c:strRef>
          </c:tx>
          <c:cat>
            <c:strRef>
              <c:f>Sheet1!$A$6:$B$16</c:f>
              <c:strCache>
                <c:ptCount val="11"/>
                <c:pt idx="0">
                  <c:v>2009</c:v>
                </c:pt>
                <c:pt idx="1">
                  <c:v>10</c:v>
                </c:pt>
                <c:pt idx="2">
                  <c:v>11</c:v>
                </c:pt>
                <c:pt idx="3">
                  <c:v>12</c:v>
                </c:pt>
                <c:pt idx="4">
                  <c:v>13</c:v>
                </c:pt>
                <c:pt idx="5">
                  <c:v>14</c:v>
                </c:pt>
                <c:pt idx="6">
                  <c:v>15</c:v>
                </c:pt>
                <c:pt idx="7">
                  <c:v>16</c:v>
                </c:pt>
                <c:pt idx="8">
                  <c:v>17</c:v>
                </c:pt>
                <c:pt idx="9">
                  <c:v>18</c:v>
                </c:pt>
                <c:pt idx="10">
                  <c:v>19</c:v>
                </c:pt>
              </c:strCache>
            </c:strRef>
          </c:cat>
          <c:val>
            <c:numRef>
              <c:f>Sheet1!$H$6:$H$16</c:f>
              <c:numCache>
                <c:formatCode>General</c:formatCode>
                <c:ptCount val="11"/>
              </c:numCache>
            </c:numRef>
          </c:val>
          <c:smooth val="0"/>
          <c:extLst>
            <c:ext xmlns:c16="http://schemas.microsoft.com/office/drawing/2014/chart" uri="{C3380CC4-5D6E-409C-BE32-E72D297353CC}">
              <c16:uniqueId val="{00000005-B41A-4B13-8345-18658CA954D8}"/>
            </c:ext>
          </c:extLst>
        </c:ser>
        <c:ser>
          <c:idx val="6"/>
          <c:order val="6"/>
          <c:tx>
            <c:strRef>
              <c:f>Sheet1!$I$5</c:f>
              <c:strCache>
                <c:ptCount val="1"/>
              </c:strCache>
            </c:strRef>
          </c:tx>
          <c:cat>
            <c:strRef>
              <c:f>Sheet1!$A$6:$B$16</c:f>
              <c:strCache>
                <c:ptCount val="11"/>
                <c:pt idx="0">
                  <c:v>2009</c:v>
                </c:pt>
                <c:pt idx="1">
                  <c:v>10</c:v>
                </c:pt>
                <c:pt idx="2">
                  <c:v>11</c:v>
                </c:pt>
                <c:pt idx="3">
                  <c:v>12</c:v>
                </c:pt>
                <c:pt idx="4">
                  <c:v>13</c:v>
                </c:pt>
                <c:pt idx="5">
                  <c:v>14</c:v>
                </c:pt>
                <c:pt idx="6">
                  <c:v>15</c:v>
                </c:pt>
                <c:pt idx="7">
                  <c:v>16</c:v>
                </c:pt>
                <c:pt idx="8">
                  <c:v>17</c:v>
                </c:pt>
                <c:pt idx="9">
                  <c:v>18</c:v>
                </c:pt>
                <c:pt idx="10">
                  <c:v>19</c:v>
                </c:pt>
              </c:strCache>
            </c:strRef>
          </c:cat>
          <c:val>
            <c:numRef>
              <c:f>Sheet1!$I$6:$I$16</c:f>
              <c:numCache>
                <c:formatCode>General</c:formatCode>
                <c:ptCount val="11"/>
              </c:numCache>
            </c:numRef>
          </c:val>
          <c:smooth val="0"/>
          <c:extLst>
            <c:ext xmlns:c16="http://schemas.microsoft.com/office/drawing/2014/chart" uri="{C3380CC4-5D6E-409C-BE32-E72D297353CC}">
              <c16:uniqueId val="{00000006-B41A-4B13-8345-18658CA954D8}"/>
            </c:ext>
          </c:extLst>
        </c:ser>
        <c:ser>
          <c:idx val="7"/>
          <c:order val="7"/>
          <c:tx>
            <c:strRef>
              <c:f>Sheet1!$J$5</c:f>
              <c:strCache>
                <c:ptCount val="1"/>
              </c:strCache>
            </c:strRef>
          </c:tx>
          <c:cat>
            <c:strRef>
              <c:f>Sheet1!$A$6:$B$16</c:f>
              <c:strCache>
                <c:ptCount val="11"/>
                <c:pt idx="0">
                  <c:v>2009</c:v>
                </c:pt>
                <c:pt idx="1">
                  <c:v>10</c:v>
                </c:pt>
                <c:pt idx="2">
                  <c:v>11</c:v>
                </c:pt>
                <c:pt idx="3">
                  <c:v>12</c:v>
                </c:pt>
                <c:pt idx="4">
                  <c:v>13</c:v>
                </c:pt>
                <c:pt idx="5">
                  <c:v>14</c:v>
                </c:pt>
                <c:pt idx="6">
                  <c:v>15</c:v>
                </c:pt>
                <c:pt idx="7">
                  <c:v>16</c:v>
                </c:pt>
                <c:pt idx="8">
                  <c:v>17</c:v>
                </c:pt>
                <c:pt idx="9">
                  <c:v>18</c:v>
                </c:pt>
                <c:pt idx="10">
                  <c:v>19</c:v>
                </c:pt>
              </c:strCache>
            </c:strRef>
          </c:cat>
          <c:val>
            <c:numRef>
              <c:f>Sheet1!$J$6:$J$16</c:f>
              <c:numCache>
                <c:formatCode>General</c:formatCode>
                <c:ptCount val="11"/>
              </c:numCache>
            </c:numRef>
          </c:val>
          <c:smooth val="0"/>
          <c:extLst>
            <c:ext xmlns:c16="http://schemas.microsoft.com/office/drawing/2014/chart" uri="{C3380CC4-5D6E-409C-BE32-E72D297353CC}">
              <c16:uniqueId val="{00000007-B41A-4B13-8345-18658CA954D8}"/>
            </c:ext>
          </c:extLst>
        </c:ser>
        <c:ser>
          <c:idx val="8"/>
          <c:order val="8"/>
          <c:tx>
            <c:strRef>
              <c:f>Sheet1!$K$5</c:f>
              <c:strCache>
                <c:ptCount val="1"/>
              </c:strCache>
            </c:strRef>
          </c:tx>
          <c:cat>
            <c:strRef>
              <c:f>Sheet1!$A$6:$B$16</c:f>
              <c:strCache>
                <c:ptCount val="11"/>
                <c:pt idx="0">
                  <c:v>2009</c:v>
                </c:pt>
                <c:pt idx="1">
                  <c:v>10</c:v>
                </c:pt>
                <c:pt idx="2">
                  <c:v>11</c:v>
                </c:pt>
                <c:pt idx="3">
                  <c:v>12</c:v>
                </c:pt>
                <c:pt idx="4">
                  <c:v>13</c:v>
                </c:pt>
                <c:pt idx="5">
                  <c:v>14</c:v>
                </c:pt>
                <c:pt idx="6">
                  <c:v>15</c:v>
                </c:pt>
                <c:pt idx="7">
                  <c:v>16</c:v>
                </c:pt>
                <c:pt idx="8">
                  <c:v>17</c:v>
                </c:pt>
                <c:pt idx="9">
                  <c:v>18</c:v>
                </c:pt>
                <c:pt idx="10">
                  <c:v>19</c:v>
                </c:pt>
              </c:strCache>
            </c:strRef>
          </c:cat>
          <c:val>
            <c:numRef>
              <c:f>Sheet1!$K$6:$K$16</c:f>
              <c:numCache>
                <c:formatCode>General</c:formatCode>
                <c:ptCount val="11"/>
              </c:numCache>
            </c:numRef>
          </c:val>
          <c:smooth val="0"/>
          <c:extLst>
            <c:ext xmlns:c16="http://schemas.microsoft.com/office/drawing/2014/chart" uri="{C3380CC4-5D6E-409C-BE32-E72D297353CC}">
              <c16:uniqueId val="{00000008-B41A-4B13-8345-18658CA954D8}"/>
            </c:ext>
          </c:extLst>
        </c:ser>
        <c:ser>
          <c:idx val="9"/>
          <c:order val="9"/>
          <c:tx>
            <c:strRef>
              <c:f>Sheet1!$L$5</c:f>
              <c:strCache>
                <c:ptCount val="1"/>
              </c:strCache>
            </c:strRef>
          </c:tx>
          <c:cat>
            <c:strRef>
              <c:f>Sheet1!$A$6:$B$16</c:f>
              <c:strCache>
                <c:ptCount val="11"/>
                <c:pt idx="0">
                  <c:v>2009</c:v>
                </c:pt>
                <c:pt idx="1">
                  <c:v>10</c:v>
                </c:pt>
                <c:pt idx="2">
                  <c:v>11</c:v>
                </c:pt>
                <c:pt idx="3">
                  <c:v>12</c:v>
                </c:pt>
                <c:pt idx="4">
                  <c:v>13</c:v>
                </c:pt>
                <c:pt idx="5">
                  <c:v>14</c:v>
                </c:pt>
                <c:pt idx="6">
                  <c:v>15</c:v>
                </c:pt>
                <c:pt idx="7">
                  <c:v>16</c:v>
                </c:pt>
                <c:pt idx="8">
                  <c:v>17</c:v>
                </c:pt>
                <c:pt idx="9">
                  <c:v>18</c:v>
                </c:pt>
                <c:pt idx="10">
                  <c:v>19</c:v>
                </c:pt>
              </c:strCache>
            </c:strRef>
          </c:cat>
          <c:val>
            <c:numRef>
              <c:f>Sheet1!$L$6:$L$16</c:f>
              <c:numCache>
                <c:formatCode>General</c:formatCode>
                <c:ptCount val="11"/>
              </c:numCache>
            </c:numRef>
          </c:val>
          <c:smooth val="0"/>
          <c:extLst>
            <c:ext xmlns:c16="http://schemas.microsoft.com/office/drawing/2014/chart" uri="{C3380CC4-5D6E-409C-BE32-E72D297353CC}">
              <c16:uniqueId val="{00000009-B41A-4B13-8345-18658CA954D8}"/>
            </c:ext>
          </c:extLst>
        </c:ser>
        <c:dLbls>
          <c:showLegendKey val="0"/>
          <c:showVal val="0"/>
          <c:showCatName val="0"/>
          <c:showSerName val="0"/>
          <c:showPercent val="0"/>
          <c:showBubbleSize val="0"/>
        </c:dLbls>
        <c:marker val="1"/>
        <c:smooth val="0"/>
        <c:axId val="89158016"/>
        <c:axId val="89159552"/>
      </c:lineChart>
      <c:catAx>
        <c:axId val="89158016"/>
        <c:scaling>
          <c:orientation val="minMax"/>
        </c:scaling>
        <c:delete val="0"/>
        <c:axPos val="b"/>
        <c:numFmt formatCode="General" sourceLinked="0"/>
        <c:majorTickMark val="out"/>
        <c:minorTickMark val="none"/>
        <c:tickLblPos val="nextTo"/>
        <c:txPr>
          <a:bodyPr/>
          <a:lstStyle/>
          <a:p>
            <a:pPr>
              <a:defRPr>
                <a:latin typeface="Verdana" panose="020B0604030504040204" pitchFamily="34" charset="0"/>
                <a:ea typeface="Verdana" panose="020B0604030504040204" pitchFamily="34" charset="0"/>
                <a:cs typeface="Verdana" panose="020B0604030504040204" pitchFamily="34" charset="0"/>
              </a:defRPr>
            </a:pPr>
            <a:endParaRPr lang="en-US"/>
          </a:p>
        </c:txPr>
        <c:crossAx val="89159552"/>
        <c:crosses val="autoZero"/>
        <c:auto val="1"/>
        <c:lblAlgn val="ctr"/>
        <c:lblOffset val="100"/>
        <c:noMultiLvlLbl val="0"/>
      </c:catAx>
      <c:valAx>
        <c:axId val="89159552"/>
        <c:scaling>
          <c:orientation val="minMax"/>
        </c:scaling>
        <c:delete val="0"/>
        <c:axPos val="l"/>
        <c:majorGridlines/>
        <c:numFmt formatCode="#,##0" sourceLinked="1"/>
        <c:majorTickMark val="out"/>
        <c:minorTickMark val="none"/>
        <c:tickLblPos val="nextTo"/>
        <c:txPr>
          <a:bodyPr/>
          <a:lstStyle/>
          <a:p>
            <a:pPr>
              <a:defRPr>
                <a:latin typeface="Verdana" panose="020B0604030504040204" pitchFamily="34" charset="0"/>
                <a:ea typeface="Verdana" panose="020B0604030504040204" pitchFamily="34" charset="0"/>
                <a:cs typeface="Verdana" panose="020B0604030504040204" pitchFamily="34" charset="0"/>
              </a:defRPr>
            </a:pPr>
            <a:endParaRPr lang="en-US"/>
          </a:p>
        </c:txPr>
        <c:crossAx val="89158016"/>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Sheet1!$B$6</c:f>
              <c:strCache>
                <c:ptCount val="1"/>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Sheet1!$B$7:$B$18</c:f>
              <c:numCache>
                <c:formatCode>General</c:formatCode>
                <c:ptCount val="12"/>
                <c:pt idx="0">
                  <c:v>30</c:v>
                </c:pt>
                <c:pt idx="1">
                  <c:v>28</c:v>
                </c:pt>
                <c:pt idx="2">
                  <c:v>20</c:v>
                </c:pt>
                <c:pt idx="3">
                  <c:v>15</c:v>
                </c:pt>
                <c:pt idx="4">
                  <c:v>23</c:v>
                </c:pt>
                <c:pt idx="5">
                  <c:v>23</c:v>
                </c:pt>
                <c:pt idx="6">
                  <c:v>20</c:v>
                </c:pt>
                <c:pt idx="7">
                  <c:v>14</c:v>
                </c:pt>
                <c:pt idx="8">
                  <c:v>15</c:v>
                </c:pt>
                <c:pt idx="9">
                  <c:v>16</c:v>
                </c:pt>
                <c:pt idx="10">
                  <c:v>11</c:v>
                </c:pt>
              </c:numCache>
            </c:numRef>
          </c:val>
          <c:smooth val="0"/>
          <c:extLst>
            <c:ext xmlns:c16="http://schemas.microsoft.com/office/drawing/2014/chart" uri="{C3380CC4-5D6E-409C-BE32-E72D297353CC}">
              <c16:uniqueId val="{00000000-3CD3-4C96-951A-5DF2CED37207}"/>
            </c:ext>
          </c:extLst>
        </c:ser>
        <c:ser>
          <c:idx val="3"/>
          <c:order val="3"/>
          <c:tx>
            <c:strRef>
              <c:f>Sheet1!$E$6</c:f>
              <c:strCache>
                <c:ptCount val="1"/>
                <c:pt idx="0">
                  <c:v>      Cases Closed by Stipulated Agreement  FY</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Sheet1!$A$7:$A$18</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f>Sheet1!$E$7:$E$18</c:f>
              <c:numCache>
                <c:formatCode>General</c:formatCode>
                <c:ptCount val="12"/>
              </c:numCache>
            </c:numRef>
          </c:val>
          <c:smooth val="0"/>
          <c:extLst>
            <c:ext xmlns:c16="http://schemas.microsoft.com/office/drawing/2014/chart" uri="{C3380CC4-5D6E-409C-BE32-E72D297353CC}">
              <c16:uniqueId val="{00000001-3CD3-4C96-951A-5DF2CED37207}"/>
            </c:ext>
          </c:extLst>
        </c:ser>
        <c:dLbls>
          <c:showLegendKey val="0"/>
          <c:showVal val="0"/>
          <c:showCatName val="0"/>
          <c:showSerName val="0"/>
          <c:showPercent val="0"/>
          <c:showBubbleSize val="0"/>
        </c:dLbls>
        <c:marker val="1"/>
        <c:smooth val="0"/>
        <c:axId val="485561960"/>
        <c:axId val="485560648"/>
        <c:extLst>
          <c:ext xmlns:c15="http://schemas.microsoft.com/office/drawing/2012/chart" uri="{02D57815-91ED-43cb-92C2-25804820EDAC}">
            <c15:filteredLineSeries>
              <c15:ser>
                <c:idx val="1"/>
                <c:order val="1"/>
                <c:tx>
                  <c:strRef>
                    <c:extLst>
                      <c:ext uri="{02D57815-91ED-43cb-92C2-25804820EDAC}">
                        <c15:formulaRef>
                          <c15:sqref>Sheet1!$C$6</c15:sqref>
                        </c15:formulaRef>
                      </c:ext>
                    </c:extLst>
                    <c:strCache>
                      <c:ptCount val="1"/>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extLst>
                      <c:ext uri="{02D57815-91ED-43cb-92C2-25804820EDAC}">
                        <c15:formulaRef>
                          <c15:sqref>Sheet1!$A$7:$A$18</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extLst>
                      <c:ext uri="{02D57815-91ED-43cb-92C2-25804820EDAC}">
                        <c15:formulaRef>
                          <c15:sqref>Sheet1!$C$7:$C$18</c15:sqref>
                        </c15:formulaRef>
                      </c:ext>
                    </c:extLst>
                    <c:numCache>
                      <c:formatCode>General</c:formatCode>
                      <c:ptCount val="12"/>
                    </c:numCache>
                  </c:numRef>
                </c:val>
                <c:smooth val="0"/>
                <c:extLst>
                  <c:ext xmlns:c16="http://schemas.microsoft.com/office/drawing/2014/chart" uri="{C3380CC4-5D6E-409C-BE32-E72D297353CC}">
                    <c16:uniqueId val="{00000002-3CD3-4C96-951A-5DF2CED37207}"/>
                  </c:ext>
                </c:extLst>
              </c15:ser>
            </c15:filteredLineSeries>
            <c15:filteredLineSeries>
              <c15:ser>
                <c:idx val="2"/>
                <c:order val="2"/>
                <c:tx>
                  <c:strRef>
                    <c:extLst xmlns:c15="http://schemas.microsoft.com/office/drawing/2012/chart">
                      <c:ext xmlns:c15="http://schemas.microsoft.com/office/drawing/2012/chart" uri="{02D57815-91ED-43cb-92C2-25804820EDAC}">
                        <c15:formulaRef>
                          <c15:sqref>Sheet1!$D$6</c15:sqref>
                        </c15:formulaRef>
                      </c:ext>
                    </c:extLst>
                    <c:strCache>
                      <c:ptCount val="1"/>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Sheet1!$D$7:$D$18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3-3CD3-4C96-951A-5DF2CED37207}"/>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Sheet1!$F$6</c15:sqref>
                        </c15:formulaRef>
                      </c:ext>
                    </c:extLst>
                    <c:strCache>
                      <c:ptCount val="1"/>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Sheet1!$F$7:$F$18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4-3CD3-4C96-951A-5DF2CED37207}"/>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Sheet1!$G$6</c15:sqref>
                        </c15:formulaRef>
                      </c:ext>
                    </c:extLst>
                    <c:strCache>
                      <c:ptCount val="1"/>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Sheet1!$G$7:$G$18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5-3CD3-4C96-951A-5DF2CED37207}"/>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Sheet1!$H$6</c15:sqref>
                        </c15:formulaRef>
                      </c:ext>
                    </c:extLst>
                    <c:strCache>
                      <c:ptCount val="1"/>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Sheet1!$H$7:$H$18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6-3CD3-4C96-951A-5DF2CED37207}"/>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Sheet1!$I$6</c15:sqref>
                        </c15:formulaRef>
                      </c:ext>
                    </c:extLst>
                    <c:strCache>
                      <c:ptCount val="1"/>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Sheet1!$I$7:$I$18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7-3CD3-4C96-951A-5DF2CED37207}"/>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Sheet1!$J$6</c15:sqref>
                        </c15:formulaRef>
                      </c:ext>
                    </c:extLst>
                    <c:strCache>
                      <c:ptCount val="1"/>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Sheet1!$J$7:$J$18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8-3CD3-4C96-951A-5DF2CED37207}"/>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Sheet1!$K$6</c15:sqref>
                        </c15:formulaRef>
                      </c:ext>
                    </c:extLst>
                    <c:strCache>
                      <c:ptCount val="1"/>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Sheet1!$K$7:$K$18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9-3CD3-4C96-951A-5DF2CED37207}"/>
                  </c:ext>
                </c:extLst>
              </c15:ser>
            </c15:filteredLineSeries>
            <c15:filteredLineSeries>
              <c15:ser>
                <c:idx val="10"/>
                <c:order val="10"/>
                <c:tx>
                  <c:strRef>
                    <c:extLst xmlns:c15="http://schemas.microsoft.com/office/drawing/2012/chart">
                      <c:ext xmlns:c15="http://schemas.microsoft.com/office/drawing/2012/chart" uri="{02D57815-91ED-43cb-92C2-25804820EDAC}">
                        <c15:formulaRef>
                          <c15:sqref>Sheet1!$L$6</c15:sqref>
                        </c15:formulaRef>
                      </c:ext>
                    </c:extLst>
                    <c:strCache>
                      <c:ptCount val="1"/>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Sheet1!$L$7:$L$18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A-3CD3-4C96-951A-5DF2CED37207}"/>
                  </c:ext>
                </c:extLst>
              </c15:ser>
            </c15:filteredLineSeries>
            <c15:filteredLineSeries>
              <c15:ser>
                <c:idx val="11"/>
                <c:order val="11"/>
                <c:tx>
                  <c:strRef>
                    <c:extLst xmlns:c15="http://schemas.microsoft.com/office/drawing/2012/chart">
                      <c:ext xmlns:c15="http://schemas.microsoft.com/office/drawing/2012/chart" uri="{02D57815-91ED-43cb-92C2-25804820EDAC}">
                        <c15:formulaRef>
                          <c15:sqref>Sheet1!$M$6</c15:sqref>
                        </c15:formulaRef>
                      </c:ext>
                    </c:extLst>
                    <c:strCache>
                      <c:ptCount val="1"/>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Sheet1!$A$7:$A$18</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Sheet1!$M$7:$M$18</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B-3CD3-4C96-951A-5DF2CED37207}"/>
                  </c:ext>
                </c:extLst>
              </c15:ser>
            </c15:filteredLineSeries>
          </c:ext>
        </c:extLst>
      </c:lineChart>
      <c:catAx>
        <c:axId val="4855619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5560648"/>
        <c:crosses val="autoZero"/>
        <c:auto val="1"/>
        <c:lblAlgn val="ctr"/>
        <c:lblOffset val="100"/>
        <c:noMultiLvlLbl val="0"/>
      </c:catAx>
      <c:valAx>
        <c:axId val="485560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55619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Sheet1!$C$6</c:f>
              <c:strCache>
                <c:ptCount val="1"/>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Sheet1!$B$7:$B$19</c:f>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f>Sheet1!$C$7:$C$19</c:f>
              <c:numCache>
                <c:formatCode>General</c:formatCode>
                <c:ptCount val="13"/>
                <c:pt idx="0">
                  <c:v>3</c:v>
                </c:pt>
                <c:pt idx="1">
                  <c:v>0</c:v>
                </c:pt>
                <c:pt idx="2">
                  <c:v>5</c:v>
                </c:pt>
                <c:pt idx="3">
                  <c:v>0</c:v>
                </c:pt>
                <c:pt idx="4">
                  <c:v>23</c:v>
                </c:pt>
                <c:pt idx="5">
                  <c:v>19</c:v>
                </c:pt>
                <c:pt idx="6">
                  <c:v>14</c:v>
                </c:pt>
                <c:pt idx="7">
                  <c:v>24</c:v>
                </c:pt>
                <c:pt idx="8">
                  <c:v>14</c:v>
                </c:pt>
                <c:pt idx="9">
                  <c:v>16</c:v>
                </c:pt>
                <c:pt idx="10">
                  <c:v>15</c:v>
                </c:pt>
              </c:numCache>
            </c:numRef>
          </c:val>
          <c:smooth val="0"/>
          <c:extLst>
            <c:ext xmlns:c16="http://schemas.microsoft.com/office/drawing/2014/chart" uri="{C3380CC4-5D6E-409C-BE32-E72D297353CC}">
              <c16:uniqueId val="{00000000-9070-4F1A-945A-2DF1CCE35EDD}"/>
            </c:ext>
          </c:extLst>
        </c:ser>
        <c:ser>
          <c:idx val="1"/>
          <c:order val="1"/>
          <c:tx>
            <c:strRef>
              <c:f>Sheet1!$D$6</c:f>
              <c:strCache>
                <c:ptCount val="1"/>
                <c:pt idx="0">
                  <c:v>            Administrative Closure of Cases    FY</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Sheet1!$B$7:$B$19</c:f>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f>Sheet1!$D$7:$D$19</c:f>
              <c:numCache>
                <c:formatCode>General</c:formatCode>
                <c:ptCount val="13"/>
              </c:numCache>
            </c:numRef>
          </c:val>
          <c:smooth val="0"/>
          <c:extLst>
            <c:ext xmlns:c16="http://schemas.microsoft.com/office/drawing/2014/chart" uri="{C3380CC4-5D6E-409C-BE32-E72D297353CC}">
              <c16:uniqueId val="{00000001-9070-4F1A-945A-2DF1CCE35EDD}"/>
            </c:ext>
          </c:extLst>
        </c:ser>
        <c:dLbls>
          <c:showLegendKey val="0"/>
          <c:showVal val="0"/>
          <c:showCatName val="0"/>
          <c:showSerName val="0"/>
          <c:showPercent val="0"/>
          <c:showBubbleSize val="0"/>
        </c:dLbls>
        <c:marker val="1"/>
        <c:smooth val="0"/>
        <c:axId val="394651512"/>
        <c:axId val="387217632"/>
        <c:extLst>
          <c:ext xmlns:c15="http://schemas.microsoft.com/office/drawing/2012/chart" uri="{02D57815-91ED-43cb-92C2-25804820EDAC}">
            <c15:filteredLineSeries>
              <c15:ser>
                <c:idx val="2"/>
                <c:order val="2"/>
                <c:tx>
                  <c:strRef>
                    <c:extLst>
                      <c:ext uri="{02D57815-91ED-43cb-92C2-25804820EDAC}">
                        <c15:formulaRef>
                          <c15:sqref>Sheet1!$E$6</c15:sqref>
                        </c15:formulaRef>
                      </c:ext>
                    </c:extLst>
                    <c:strCache>
                      <c:ptCount val="1"/>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extLst>
                      <c:ext uri="{02D57815-91ED-43cb-92C2-25804820EDAC}">
                        <c15:formulaRef>
                          <c15:sqref>Sheet1!$B$7:$B$19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c:ext uri="{02D57815-91ED-43cb-92C2-25804820EDAC}">
                        <c15:formulaRef>
                          <c15:sqref>Sheet1!$E$7:$E$19</c15:sqref>
                        </c15:formulaRef>
                      </c:ext>
                    </c:extLst>
                    <c:numCache>
                      <c:formatCode>General</c:formatCode>
                      <c:ptCount val="13"/>
                    </c:numCache>
                  </c:numRef>
                </c:val>
                <c:smooth val="0"/>
                <c:extLst>
                  <c:ext xmlns:c16="http://schemas.microsoft.com/office/drawing/2014/chart" uri="{C3380CC4-5D6E-409C-BE32-E72D297353CC}">
                    <c16:uniqueId val="{00000002-9070-4F1A-945A-2DF1CCE35EDD}"/>
                  </c:ext>
                </c:extLst>
              </c15:ser>
            </c15:filteredLineSeries>
            <c15:filteredLineSeries>
              <c15:ser>
                <c:idx val="3"/>
                <c:order val="3"/>
                <c:tx>
                  <c:strRef>
                    <c:extLst xmlns:c15="http://schemas.microsoft.com/office/drawing/2012/chart">
                      <c:ext xmlns:c15="http://schemas.microsoft.com/office/drawing/2012/chart" uri="{02D57815-91ED-43cb-92C2-25804820EDAC}">
                        <c15:formulaRef>
                          <c15:sqref>Sheet1!$F$6</c15:sqref>
                        </c15:formulaRef>
                      </c:ext>
                    </c:extLst>
                    <c:strCache>
                      <c:ptCount val="1"/>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extLst xmlns:c15="http://schemas.microsoft.com/office/drawing/2012/chart">
                      <c:ext xmlns:c15="http://schemas.microsoft.com/office/drawing/2012/chart" uri="{02D57815-91ED-43cb-92C2-25804820EDAC}">
                        <c15:formulaRef>
                          <c15:sqref>Sheet1!$B$7:$B$19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Sheet1!$F$7:$F$19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3-9070-4F1A-945A-2DF1CCE35EDD}"/>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Sheet1!$G$6</c15:sqref>
                        </c15:formulaRef>
                      </c:ext>
                    </c:extLst>
                    <c:strCache>
                      <c:ptCount val="1"/>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Sheet1!$B$7:$B$19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Sheet1!$G$7:$G$19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4-9070-4F1A-945A-2DF1CCE35EDD}"/>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Sheet1!$H$6</c15:sqref>
                        </c15:formulaRef>
                      </c:ext>
                    </c:extLst>
                    <c:strCache>
                      <c:ptCount val="1"/>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Sheet1!$B$7:$B$19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Sheet1!$H$7:$H$19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5-9070-4F1A-945A-2DF1CCE35EDD}"/>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Sheet1!$I$6</c15:sqref>
                        </c15:formulaRef>
                      </c:ext>
                    </c:extLst>
                    <c:strCache>
                      <c:ptCount val="1"/>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Sheet1!$B$7:$B$19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Sheet1!$I$7:$I$19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6-9070-4F1A-945A-2DF1CCE35EDD}"/>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Sheet1!$J$6</c15:sqref>
                        </c15:formulaRef>
                      </c:ext>
                    </c:extLst>
                    <c:strCache>
                      <c:ptCount val="1"/>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Sheet1!$B$7:$B$19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Sheet1!$J$7:$J$19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7-9070-4F1A-945A-2DF1CCE35EDD}"/>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Sheet1!$K$6</c15:sqref>
                        </c15:formulaRef>
                      </c:ext>
                    </c:extLst>
                    <c:strCache>
                      <c:ptCount val="1"/>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Sheet1!$B$7:$B$19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Sheet1!$K$7:$K$19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8-9070-4F1A-945A-2DF1CCE35EDD}"/>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Sheet1!$L$6</c15:sqref>
                        </c15:formulaRef>
                      </c:ext>
                    </c:extLst>
                    <c:strCache>
                      <c:ptCount val="1"/>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Sheet1!$B$7:$B$19</c15:sqref>
                        </c15:formulaRef>
                      </c:ext>
                    </c:extLst>
                    <c:numCache>
                      <c:formatCode>General</c:formatCode>
                      <c:ptCount val="13"/>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Sheet1!$L$7:$L$19</c15:sqref>
                        </c15:formulaRef>
                      </c:ext>
                    </c:extLst>
                    <c:numCache>
                      <c:formatCode>General</c:formatCode>
                      <c:ptCount val="13"/>
                    </c:numCache>
                  </c:numRef>
                </c:val>
                <c:smooth val="0"/>
                <c:extLst xmlns:c15="http://schemas.microsoft.com/office/drawing/2012/chart">
                  <c:ext xmlns:c16="http://schemas.microsoft.com/office/drawing/2014/chart" uri="{C3380CC4-5D6E-409C-BE32-E72D297353CC}">
                    <c16:uniqueId val="{00000009-9070-4F1A-945A-2DF1CCE35EDD}"/>
                  </c:ext>
                </c:extLst>
              </c15:ser>
            </c15:filteredLineSeries>
          </c:ext>
        </c:extLst>
      </c:lineChart>
      <c:catAx>
        <c:axId val="3946515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7217632"/>
        <c:crosses val="autoZero"/>
        <c:auto val="1"/>
        <c:lblAlgn val="ctr"/>
        <c:lblOffset val="100"/>
        <c:noMultiLvlLbl val="0"/>
      </c:catAx>
      <c:valAx>
        <c:axId val="3872176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46515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Sheet1!$B$5</c:f>
              <c:strCache>
                <c:ptCount val="1"/>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Sheet1!$A$6:$A$19</c:f>
              <c:numCache>
                <c:formatCode>General</c:formatCode>
                <c:ptCount val="14"/>
                <c:pt idx="0">
                  <c:v>2009</c:v>
                </c:pt>
                <c:pt idx="1">
                  <c:v>10</c:v>
                </c:pt>
                <c:pt idx="2">
                  <c:v>11</c:v>
                </c:pt>
                <c:pt idx="3">
                  <c:v>12</c:v>
                </c:pt>
                <c:pt idx="4">
                  <c:v>13</c:v>
                </c:pt>
                <c:pt idx="5">
                  <c:v>14</c:v>
                </c:pt>
                <c:pt idx="6">
                  <c:v>15</c:v>
                </c:pt>
                <c:pt idx="7">
                  <c:v>16</c:v>
                </c:pt>
                <c:pt idx="8">
                  <c:v>17</c:v>
                </c:pt>
                <c:pt idx="9">
                  <c:v>18</c:v>
                </c:pt>
                <c:pt idx="10">
                  <c:v>19</c:v>
                </c:pt>
              </c:numCache>
            </c:numRef>
          </c:cat>
          <c:val>
            <c:numRef>
              <c:f>Sheet1!$B$6:$B$19</c:f>
              <c:numCache>
                <c:formatCode>#,##0</c:formatCode>
                <c:ptCount val="14"/>
                <c:pt idx="0">
                  <c:v>590741</c:v>
                </c:pt>
                <c:pt idx="1">
                  <c:v>737962</c:v>
                </c:pt>
                <c:pt idx="2">
                  <c:v>493173</c:v>
                </c:pt>
                <c:pt idx="3">
                  <c:v>597368</c:v>
                </c:pt>
                <c:pt idx="4">
                  <c:v>636929</c:v>
                </c:pt>
                <c:pt idx="5">
                  <c:v>599901</c:v>
                </c:pt>
                <c:pt idx="6">
                  <c:v>598694</c:v>
                </c:pt>
                <c:pt idx="7">
                  <c:v>558405</c:v>
                </c:pt>
                <c:pt idx="8">
                  <c:v>508234</c:v>
                </c:pt>
                <c:pt idx="9">
                  <c:v>469728</c:v>
                </c:pt>
                <c:pt idx="10">
                  <c:v>380338</c:v>
                </c:pt>
              </c:numCache>
            </c:numRef>
          </c:val>
          <c:smooth val="0"/>
          <c:extLst>
            <c:ext xmlns:c16="http://schemas.microsoft.com/office/drawing/2014/chart" uri="{C3380CC4-5D6E-409C-BE32-E72D297353CC}">
              <c16:uniqueId val="{00000000-8CF0-40A0-9946-77006C67E650}"/>
            </c:ext>
          </c:extLst>
        </c:ser>
        <c:ser>
          <c:idx val="3"/>
          <c:order val="3"/>
          <c:tx>
            <c:strRef>
              <c:f>Sheet1!$E$5</c:f>
              <c:strCache>
                <c:ptCount val="1"/>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Sheet1!$A$6:$A$19</c:f>
              <c:numCache>
                <c:formatCode>General</c:formatCode>
                <c:ptCount val="14"/>
                <c:pt idx="0">
                  <c:v>2009</c:v>
                </c:pt>
                <c:pt idx="1">
                  <c:v>10</c:v>
                </c:pt>
                <c:pt idx="2">
                  <c:v>11</c:v>
                </c:pt>
                <c:pt idx="3">
                  <c:v>12</c:v>
                </c:pt>
                <c:pt idx="4">
                  <c:v>13</c:v>
                </c:pt>
                <c:pt idx="5">
                  <c:v>14</c:v>
                </c:pt>
                <c:pt idx="6">
                  <c:v>15</c:v>
                </c:pt>
                <c:pt idx="7">
                  <c:v>16</c:v>
                </c:pt>
                <c:pt idx="8">
                  <c:v>17</c:v>
                </c:pt>
                <c:pt idx="9">
                  <c:v>18</c:v>
                </c:pt>
                <c:pt idx="10">
                  <c:v>19</c:v>
                </c:pt>
              </c:numCache>
            </c:numRef>
          </c:cat>
          <c:val>
            <c:numRef>
              <c:f>Sheet1!$E$6:$E$19</c:f>
              <c:numCache>
                <c:formatCode>General</c:formatCode>
                <c:ptCount val="14"/>
              </c:numCache>
            </c:numRef>
          </c:val>
          <c:smooth val="0"/>
          <c:extLst>
            <c:ext xmlns:c16="http://schemas.microsoft.com/office/drawing/2014/chart" uri="{C3380CC4-5D6E-409C-BE32-E72D297353CC}">
              <c16:uniqueId val="{00000001-8CF0-40A0-9946-77006C67E650}"/>
            </c:ext>
          </c:extLst>
        </c:ser>
        <c:dLbls>
          <c:showLegendKey val="0"/>
          <c:showVal val="0"/>
          <c:showCatName val="0"/>
          <c:showSerName val="0"/>
          <c:showPercent val="0"/>
          <c:showBubbleSize val="0"/>
        </c:dLbls>
        <c:marker val="1"/>
        <c:smooth val="0"/>
        <c:axId val="465004184"/>
        <c:axId val="465015008"/>
        <c:extLst>
          <c:ext xmlns:c15="http://schemas.microsoft.com/office/drawing/2012/chart" uri="{02D57815-91ED-43cb-92C2-25804820EDAC}">
            <c15:filteredLineSeries>
              <c15:ser>
                <c:idx val="1"/>
                <c:order val="1"/>
                <c:tx>
                  <c:strRef>
                    <c:extLst>
                      <c:ext uri="{02D57815-91ED-43cb-92C2-25804820EDAC}">
                        <c15:formulaRef>
                          <c15:sqref>Sheet1!$C$5</c15:sqref>
                        </c15:formulaRef>
                      </c:ext>
                    </c:extLst>
                    <c:strCache>
                      <c:ptCount val="1"/>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extLst>
                      <c:ext uri="{02D57815-91ED-43cb-92C2-25804820EDAC}">
                        <c15:formulaRef>
                          <c15:sqref>Sheet1!$A$6:$A$19</c15:sqref>
                        </c15:formulaRef>
                      </c:ext>
                    </c:extLst>
                    <c:numCache>
                      <c:formatCode>General</c:formatCode>
                      <c:ptCount val="14"/>
                      <c:pt idx="0">
                        <c:v>2009</c:v>
                      </c:pt>
                      <c:pt idx="1">
                        <c:v>10</c:v>
                      </c:pt>
                      <c:pt idx="2">
                        <c:v>11</c:v>
                      </c:pt>
                      <c:pt idx="3">
                        <c:v>12</c:v>
                      </c:pt>
                      <c:pt idx="4">
                        <c:v>13</c:v>
                      </c:pt>
                      <c:pt idx="5">
                        <c:v>14</c:v>
                      </c:pt>
                      <c:pt idx="6">
                        <c:v>15</c:v>
                      </c:pt>
                      <c:pt idx="7">
                        <c:v>16</c:v>
                      </c:pt>
                      <c:pt idx="8">
                        <c:v>17</c:v>
                      </c:pt>
                      <c:pt idx="9">
                        <c:v>18</c:v>
                      </c:pt>
                      <c:pt idx="10">
                        <c:v>19</c:v>
                      </c:pt>
                    </c:numCache>
                  </c:numRef>
                </c:cat>
                <c:val>
                  <c:numRef>
                    <c:extLst>
                      <c:ext uri="{02D57815-91ED-43cb-92C2-25804820EDAC}">
                        <c15:formulaRef>
                          <c15:sqref>Sheet1!$C$6:$C$19</c15:sqref>
                        </c15:formulaRef>
                      </c:ext>
                    </c:extLst>
                    <c:numCache>
                      <c:formatCode>General</c:formatCode>
                      <c:ptCount val="14"/>
                    </c:numCache>
                  </c:numRef>
                </c:val>
                <c:smooth val="0"/>
                <c:extLst>
                  <c:ext xmlns:c16="http://schemas.microsoft.com/office/drawing/2014/chart" uri="{C3380CC4-5D6E-409C-BE32-E72D297353CC}">
                    <c16:uniqueId val="{00000002-8CF0-40A0-9946-77006C67E650}"/>
                  </c:ext>
                </c:extLst>
              </c15:ser>
            </c15:filteredLineSeries>
            <c15:filteredLineSeries>
              <c15:ser>
                <c:idx val="2"/>
                <c:order val="2"/>
                <c:tx>
                  <c:strRef>
                    <c:extLst xmlns:c15="http://schemas.microsoft.com/office/drawing/2012/chart">
                      <c:ext xmlns:c15="http://schemas.microsoft.com/office/drawing/2012/chart" uri="{02D57815-91ED-43cb-92C2-25804820EDAC}">
                        <c15:formulaRef>
                          <c15:sqref>Sheet1!$D$5</c15:sqref>
                        </c15:formulaRef>
                      </c:ext>
                    </c:extLst>
                    <c:strCache>
                      <c:ptCount val="1"/>
                      <c:pt idx="0">
                        <c:v>       Legal Costs    FY</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extLst xmlns:c15="http://schemas.microsoft.com/office/drawing/2012/chart">
                      <c:ext xmlns:c15="http://schemas.microsoft.com/office/drawing/2012/chart" uri="{02D57815-91ED-43cb-92C2-25804820EDAC}">
                        <c15:formulaRef>
                          <c15:sqref>Sheet1!$A$6:$A$19</c15:sqref>
                        </c15:formulaRef>
                      </c:ext>
                    </c:extLst>
                    <c:numCache>
                      <c:formatCode>General</c:formatCode>
                      <c:ptCount val="14"/>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Sheet1!$D$6:$D$19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3-8CF0-40A0-9946-77006C67E650}"/>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Sheet1!$F$5</c15:sqref>
                        </c15:formulaRef>
                      </c:ext>
                    </c:extLst>
                    <c:strCache>
                      <c:ptCount val="1"/>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Sheet1!$A$6:$A$19</c15:sqref>
                        </c15:formulaRef>
                      </c:ext>
                    </c:extLst>
                    <c:numCache>
                      <c:formatCode>General</c:formatCode>
                      <c:ptCount val="14"/>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Sheet1!$F$6:$F$19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4-8CF0-40A0-9946-77006C67E650}"/>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Sheet1!$G$5</c15:sqref>
                        </c15:formulaRef>
                      </c:ext>
                    </c:extLst>
                    <c:strCache>
                      <c:ptCount val="1"/>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Sheet1!$A$6:$A$19</c15:sqref>
                        </c15:formulaRef>
                      </c:ext>
                    </c:extLst>
                    <c:numCache>
                      <c:formatCode>General</c:formatCode>
                      <c:ptCount val="14"/>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Sheet1!$G$6:$G$19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5-8CF0-40A0-9946-77006C67E650}"/>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Sheet1!$H$5</c15:sqref>
                        </c15:formulaRef>
                      </c:ext>
                    </c:extLst>
                    <c:strCache>
                      <c:ptCount val="1"/>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Sheet1!$A$6:$A$19</c15:sqref>
                        </c15:formulaRef>
                      </c:ext>
                    </c:extLst>
                    <c:numCache>
                      <c:formatCode>General</c:formatCode>
                      <c:ptCount val="14"/>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Sheet1!$H$6:$H$19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6-8CF0-40A0-9946-77006C67E650}"/>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Sheet1!$I$5</c15:sqref>
                        </c15:formulaRef>
                      </c:ext>
                    </c:extLst>
                    <c:strCache>
                      <c:ptCount val="1"/>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Sheet1!$A$6:$A$19</c15:sqref>
                        </c15:formulaRef>
                      </c:ext>
                    </c:extLst>
                    <c:numCache>
                      <c:formatCode>General</c:formatCode>
                      <c:ptCount val="14"/>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Sheet1!$I$6:$I$19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7-8CF0-40A0-9946-77006C67E650}"/>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Sheet1!$J$5</c15:sqref>
                        </c15:formulaRef>
                      </c:ext>
                    </c:extLst>
                    <c:strCache>
                      <c:ptCount val="1"/>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Sheet1!$A$6:$A$19</c15:sqref>
                        </c15:formulaRef>
                      </c:ext>
                    </c:extLst>
                    <c:numCache>
                      <c:formatCode>General</c:formatCode>
                      <c:ptCount val="14"/>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Sheet1!$J$6:$J$19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8-8CF0-40A0-9946-77006C67E650}"/>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Sheet1!$K$5</c15:sqref>
                        </c15:formulaRef>
                      </c:ext>
                    </c:extLst>
                    <c:strCache>
                      <c:ptCount val="1"/>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Sheet1!$A$6:$A$19</c15:sqref>
                        </c15:formulaRef>
                      </c:ext>
                    </c:extLst>
                    <c:numCache>
                      <c:formatCode>General</c:formatCode>
                      <c:ptCount val="14"/>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Sheet1!$K$6:$K$19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9-8CF0-40A0-9946-77006C67E650}"/>
                  </c:ext>
                </c:extLst>
              </c15:ser>
            </c15:filteredLineSeries>
            <c15:filteredLineSeries>
              <c15:ser>
                <c:idx val="10"/>
                <c:order val="10"/>
                <c:tx>
                  <c:strRef>
                    <c:extLst xmlns:c15="http://schemas.microsoft.com/office/drawing/2012/chart">
                      <c:ext xmlns:c15="http://schemas.microsoft.com/office/drawing/2012/chart" uri="{02D57815-91ED-43cb-92C2-25804820EDAC}">
                        <c15:formulaRef>
                          <c15:sqref>Sheet1!$L$5</c15:sqref>
                        </c15:formulaRef>
                      </c:ext>
                    </c:extLst>
                    <c:strCache>
                      <c:ptCount val="1"/>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Sheet1!$A$6:$A$19</c15:sqref>
                        </c15:formulaRef>
                      </c:ext>
                    </c:extLst>
                    <c:numCache>
                      <c:formatCode>General</c:formatCode>
                      <c:ptCount val="14"/>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Sheet1!$L$6:$L$19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A-8CF0-40A0-9946-77006C67E650}"/>
                  </c:ext>
                </c:extLst>
              </c15:ser>
            </c15:filteredLineSeries>
            <c15:filteredLineSeries>
              <c15:ser>
                <c:idx val="11"/>
                <c:order val="11"/>
                <c:tx>
                  <c:strRef>
                    <c:extLst xmlns:c15="http://schemas.microsoft.com/office/drawing/2012/chart">
                      <c:ext xmlns:c15="http://schemas.microsoft.com/office/drawing/2012/chart" uri="{02D57815-91ED-43cb-92C2-25804820EDAC}">
                        <c15:formulaRef>
                          <c15:sqref>Sheet1!$M$5</c15:sqref>
                        </c15:formulaRef>
                      </c:ext>
                    </c:extLst>
                    <c:strCache>
                      <c:ptCount val="1"/>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Sheet1!$A$6:$A$19</c15:sqref>
                        </c15:formulaRef>
                      </c:ext>
                    </c:extLst>
                    <c:numCache>
                      <c:formatCode>General</c:formatCode>
                      <c:ptCount val="14"/>
                      <c:pt idx="0">
                        <c:v>2009</c:v>
                      </c:pt>
                      <c:pt idx="1">
                        <c:v>10</c:v>
                      </c:pt>
                      <c:pt idx="2">
                        <c:v>11</c:v>
                      </c:pt>
                      <c:pt idx="3">
                        <c:v>12</c:v>
                      </c:pt>
                      <c:pt idx="4">
                        <c:v>13</c:v>
                      </c:pt>
                      <c:pt idx="5">
                        <c:v>14</c:v>
                      </c:pt>
                      <c:pt idx="6">
                        <c:v>15</c:v>
                      </c:pt>
                      <c:pt idx="7">
                        <c:v>16</c:v>
                      </c:pt>
                      <c:pt idx="8">
                        <c:v>17</c:v>
                      </c:pt>
                      <c:pt idx="9">
                        <c:v>18</c:v>
                      </c:pt>
                      <c:pt idx="10">
                        <c:v>19</c:v>
                      </c:pt>
                    </c:numCache>
                  </c:numRef>
                </c:cat>
                <c:val>
                  <c:numRef>
                    <c:extLst xmlns:c15="http://schemas.microsoft.com/office/drawing/2012/chart">
                      <c:ext xmlns:c15="http://schemas.microsoft.com/office/drawing/2012/chart" uri="{02D57815-91ED-43cb-92C2-25804820EDAC}">
                        <c15:formulaRef>
                          <c15:sqref>Sheet1!$M$6:$M$19</c15:sqref>
                        </c15:formulaRef>
                      </c:ext>
                    </c:extLst>
                    <c:numCache>
                      <c:formatCode>General</c:formatCode>
                      <c:ptCount val="14"/>
                    </c:numCache>
                  </c:numRef>
                </c:val>
                <c:smooth val="0"/>
                <c:extLst xmlns:c15="http://schemas.microsoft.com/office/drawing/2012/chart">
                  <c:ext xmlns:c16="http://schemas.microsoft.com/office/drawing/2014/chart" uri="{C3380CC4-5D6E-409C-BE32-E72D297353CC}">
                    <c16:uniqueId val="{0000000B-8CF0-40A0-9946-77006C67E650}"/>
                  </c:ext>
                </c:extLst>
              </c15:ser>
            </c15:filteredLineSeries>
          </c:ext>
        </c:extLst>
      </c:lineChart>
      <c:catAx>
        <c:axId val="4650041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Verdana" panose="020B0604030504040204" pitchFamily="34" charset="0"/>
                <a:ea typeface="Verdana" panose="020B0604030504040204" pitchFamily="34" charset="0"/>
                <a:cs typeface="Verdana" panose="020B0604030504040204" pitchFamily="34" charset="0"/>
              </a:defRPr>
            </a:pPr>
            <a:endParaRPr lang="en-US"/>
          </a:p>
        </c:txPr>
        <c:crossAx val="465015008"/>
        <c:crosses val="autoZero"/>
        <c:auto val="1"/>
        <c:lblAlgn val="ctr"/>
        <c:lblOffset val="100"/>
        <c:noMultiLvlLbl val="0"/>
      </c:catAx>
      <c:valAx>
        <c:axId val="46501500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Verdana" panose="020B0604030504040204" pitchFamily="34" charset="0"/>
                <a:ea typeface="Verdana" panose="020B0604030504040204" pitchFamily="34" charset="0"/>
                <a:cs typeface="Verdana" panose="020B0604030504040204" pitchFamily="34" charset="0"/>
              </a:defRPr>
            </a:pPr>
            <a:endParaRPr lang="en-US"/>
          </a:p>
        </c:txPr>
        <c:crossAx val="4650041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lineChart>
        <c:grouping val="stacked"/>
        <c:varyColors val="0"/>
        <c:ser>
          <c:idx val="1"/>
          <c:order val="1"/>
          <c:tx>
            <c:strRef>
              <c:f>Sheet1!$C$5</c:f>
              <c:strCache>
                <c:ptCount val="1"/>
              </c:strCache>
            </c:strRef>
          </c:tx>
          <c:spPr>
            <a:ln w="28575" cap="rnd">
              <a:solidFill>
                <a:schemeClr val="accent1">
                  <a:shade val="53000"/>
                </a:schemeClr>
              </a:solidFill>
              <a:round/>
            </a:ln>
            <a:effectLst/>
          </c:spPr>
          <c:marker>
            <c:symbol val="circle"/>
            <c:size val="5"/>
            <c:spPr>
              <a:solidFill>
                <a:schemeClr val="accent1">
                  <a:shade val="53000"/>
                </a:schemeClr>
              </a:solidFill>
              <a:ln w="9525">
                <a:solidFill>
                  <a:schemeClr val="accent1">
                    <a:shade val="53000"/>
                  </a:schemeClr>
                </a:solidFill>
              </a:ln>
              <a:effectLst/>
            </c:spPr>
          </c:marker>
          <c:cat>
            <c:numRef>
              <c:f>Sheet1!$A$6:$A$17</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pt idx="11">
                  <c:v>20</c:v>
                </c:pt>
              </c:numCache>
            </c:numRef>
          </c:cat>
          <c:val>
            <c:numRef>
              <c:f>Sheet1!$C$6:$C$17</c:f>
              <c:numCache>
                <c:formatCode>#,##0</c:formatCode>
                <c:ptCount val="12"/>
                <c:pt idx="0">
                  <c:v>7088187</c:v>
                </c:pt>
                <c:pt idx="1">
                  <c:v>4103171</c:v>
                </c:pt>
                <c:pt idx="2">
                  <c:v>3782089</c:v>
                </c:pt>
                <c:pt idx="3">
                  <c:v>3701257</c:v>
                </c:pt>
                <c:pt idx="4">
                  <c:v>3636709</c:v>
                </c:pt>
                <c:pt idx="5">
                  <c:v>4969970</c:v>
                </c:pt>
                <c:pt idx="6">
                  <c:v>3868132</c:v>
                </c:pt>
                <c:pt idx="7">
                  <c:v>3600209</c:v>
                </c:pt>
                <c:pt idx="8">
                  <c:v>5390438</c:v>
                </c:pt>
                <c:pt idx="9">
                  <c:v>3707562</c:v>
                </c:pt>
                <c:pt idx="10">
                  <c:v>2970515</c:v>
                </c:pt>
                <c:pt idx="11">
                  <c:v>3436218</c:v>
                </c:pt>
              </c:numCache>
            </c:numRef>
          </c:val>
          <c:smooth val="0"/>
          <c:extLst>
            <c:ext xmlns:c16="http://schemas.microsoft.com/office/drawing/2014/chart" uri="{C3380CC4-5D6E-409C-BE32-E72D297353CC}">
              <c16:uniqueId val="{00000000-2A7B-4FA9-AD0D-DD3D9BCDDA20}"/>
            </c:ext>
          </c:extLst>
        </c:ser>
        <c:ser>
          <c:idx val="2"/>
          <c:order val="2"/>
          <c:tx>
            <c:strRef>
              <c:f>Sheet1!$D$5</c:f>
              <c:strCache>
                <c:ptCount val="1"/>
                <c:pt idx="0">
                  <c:v>          Annual Assessment    CY  </c:v>
                </c:pt>
              </c:strCache>
            </c:strRef>
          </c:tx>
          <c:spPr>
            <a:ln w="28575" cap="rnd">
              <a:solidFill>
                <a:schemeClr val="accent1">
                  <a:shade val="65000"/>
                </a:schemeClr>
              </a:solidFill>
              <a:round/>
            </a:ln>
            <a:effectLst/>
          </c:spPr>
          <c:marker>
            <c:symbol val="circle"/>
            <c:size val="5"/>
            <c:spPr>
              <a:solidFill>
                <a:schemeClr val="accent1">
                  <a:shade val="65000"/>
                </a:schemeClr>
              </a:solidFill>
              <a:ln w="9525">
                <a:solidFill>
                  <a:schemeClr val="accent1">
                    <a:shade val="65000"/>
                  </a:schemeClr>
                </a:solidFill>
              </a:ln>
              <a:effectLst/>
            </c:spPr>
          </c:marker>
          <c:cat>
            <c:numRef>
              <c:f>Sheet1!$A$6:$A$17</c:f>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pt idx="11">
                  <c:v>20</c:v>
                </c:pt>
              </c:numCache>
            </c:numRef>
          </c:cat>
          <c:val>
            <c:numRef>
              <c:f>Sheet1!$D$6:$D$17</c:f>
              <c:numCache>
                <c:formatCode>General</c:formatCode>
                <c:ptCount val="12"/>
              </c:numCache>
            </c:numRef>
          </c:val>
          <c:smooth val="0"/>
          <c:extLst>
            <c:ext xmlns:c16="http://schemas.microsoft.com/office/drawing/2014/chart" uri="{C3380CC4-5D6E-409C-BE32-E72D297353CC}">
              <c16:uniqueId val="{00000001-2A7B-4FA9-AD0D-DD3D9BCDDA20}"/>
            </c:ext>
          </c:extLst>
        </c:ser>
        <c:dLbls>
          <c:showLegendKey val="0"/>
          <c:showVal val="0"/>
          <c:showCatName val="0"/>
          <c:showSerName val="0"/>
          <c:showPercent val="0"/>
          <c:showBubbleSize val="0"/>
        </c:dLbls>
        <c:marker val="1"/>
        <c:smooth val="0"/>
        <c:axId val="568080184"/>
        <c:axId val="568077232"/>
        <c:extLst>
          <c:ext xmlns:c15="http://schemas.microsoft.com/office/drawing/2012/chart" uri="{02D57815-91ED-43cb-92C2-25804820EDAC}">
            <c15:filteredLineSeries>
              <c15:ser>
                <c:idx val="0"/>
                <c:order val="0"/>
                <c:tx>
                  <c:strRef>
                    <c:extLst>
                      <c:ext uri="{02D57815-91ED-43cb-92C2-25804820EDAC}">
                        <c15:formulaRef>
                          <c15:sqref>Sheet1!$B$5</c15:sqref>
                        </c15:formulaRef>
                      </c:ext>
                    </c:extLst>
                    <c:strCache>
                      <c:ptCount val="1"/>
                    </c:strCache>
                  </c:strRef>
                </c:tx>
                <c:spPr>
                  <a:ln w="28575" cap="rnd">
                    <a:solidFill>
                      <a:schemeClr val="accent1">
                        <a:shade val="41000"/>
                      </a:schemeClr>
                    </a:solidFill>
                    <a:round/>
                  </a:ln>
                  <a:effectLst/>
                </c:spPr>
                <c:marker>
                  <c:symbol val="circle"/>
                  <c:size val="5"/>
                  <c:spPr>
                    <a:solidFill>
                      <a:schemeClr val="accent1">
                        <a:shade val="41000"/>
                      </a:schemeClr>
                    </a:solidFill>
                    <a:ln w="9525">
                      <a:solidFill>
                        <a:schemeClr val="accent1">
                          <a:shade val="41000"/>
                        </a:schemeClr>
                      </a:solidFill>
                    </a:ln>
                    <a:effectLst/>
                  </c:spPr>
                </c:marker>
                <c:cat>
                  <c:numRef>
                    <c:extLst>
                      <c:ext uri="{02D57815-91ED-43cb-92C2-25804820EDAC}">
                        <c15:formulaRef>
                          <c15:sqref>Sheet1!$A$6:$A$17</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pt idx="11">
                        <c:v>20</c:v>
                      </c:pt>
                    </c:numCache>
                  </c:numRef>
                </c:cat>
                <c:val>
                  <c:numRef>
                    <c:extLst>
                      <c:ext uri="{02D57815-91ED-43cb-92C2-25804820EDAC}">
                        <c15:formulaRef>
                          <c15:sqref>Sheet1!$B$6:$B$17</c15:sqref>
                        </c15:formulaRef>
                      </c:ext>
                    </c:extLst>
                    <c:numCache>
                      <c:formatCode>General</c:formatCode>
                      <c:ptCount val="12"/>
                    </c:numCache>
                  </c:numRef>
                </c:val>
                <c:smooth val="0"/>
                <c:extLst>
                  <c:ext xmlns:c16="http://schemas.microsoft.com/office/drawing/2014/chart" uri="{C3380CC4-5D6E-409C-BE32-E72D297353CC}">
                    <c16:uniqueId val="{00000002-2A7B-4FA9-AD0D-DD3D9BCDDA20}"/>
                  </c:ext>
                </c:extLst>
              </c15:ser>
            </c15:filteredLineSeries>
            <c15:filteredLineSeries>
              <c15:ser>
                <c:idx val="3"/>
                <c:order val="3"/>
                <c:tx>
                  <c:strRef>
                    <c:extLst xmlns:c15="http://schemas.microsoft.com/office/drawing/2012/chart">
                      <c:ext xmlns:c15="http://schemas.microsoft.com/office/drawing/2012/chart" uri="{02D57815-91ED-43cb-92C2-25804820EDAC}">
                        <c15:formulaRef>
                          <c15:sqref>Sheet1!$E$5</c15:sqref>
                        </c15:formulaRef>
                      </c:ext>
                    </c:extLst>
                    <c:strCache>
                      <c:ptCount val="1"/>
                    </c:strCache>
                  </c:strRef>
                </c:tx>
                <c:spPr>
                  <a:ln w="28575" cap="rnd">
                    <a:solidFill>
                      <a:schemeClr val="accent1">
                        <a:shade val="76000"/>
                      </a:schemeClr>
                    </a:solidFill>
                    <a:round/>
                  </a:ln>
                  <a:effectLst/>
                </c:spPr>
                <c:marker>
                  <c:symbol val="circle"/>
                  <c:size val="5"/>
                  <c:spPr>
                    <a:solidFill>
                      <a:schemeClr val="accent1">
                        <a:shade val="76000"/>
                      </a:schemeClr>
                    </a:solidFill>
                    <a:ln w="9525">
                      <a:solidFill>
                        <a:schemeClr val="accent1">
                          <a:shade val="76000"/>
                        </a:schemeClr>
                      </a:solidFill>
                    </a:ln>
                    <a:effectLst/>
                  </c:spPr>
                </c:marker>
                <c:cat>
                  <c:numRef>
                    <c:extLst xmlns:c15="http://schemas.microsoft.com/office/drawing/2012/chart">
                      <c:ext xmlns:c15="http://schemas.microsoft.com/office/drawing/2012/chart" uri="{02D57815-91ED-43cb-92C2-25804820EDAC}">
                        <c15:formulaRef>
                          <c15:sqref>Sheet1!$A$6:$A$17</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pt idx="11">
                        <c:v>20</c:v>
                      </c:pt>
                    </c:numCache>
                  </c:numRef>
                </c:cat>
                <c:val>
                  <c:numRef>
                    <c:extLst xmlns:c15="http://schemas.microsoft.com/office/drawing/2012/chart">
                      <c:ext xmlns:c15="http://schemas.microsoft.com/office/drawing/2012/chart" uri="{02D57815-91ED-43cb-92C2-25804820EDAC}">
                        <c15:formulaRef>
                          <c15:sqref>Sheet1!$E$6:$E$17</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3-2A7B-4FA9-AD0D-DD3D9BCDDA20}"/>
                  </c:ext>
                </c:extLst>
              </c15:ser>
            </c15:filteredLineSeries>
            <c15:filteredLineSeries>
              <c15:ser>
                <c:idx val="4"/>
                <c:order val="4"/>
                <c:tx>
                  <c:strRef>
                    <c:extLst xmlns:c15="http://schemas.microsoft.com/office/drawing/2012/chart">
                      <c:ext xmlns:c15="http://schemas.microsoft.com/office/drawing/2012/chart" uri="{02D57815-91ED-43cb-92C2-25804820EDAC}">
                        <c15:formulaRef>
                          <c15:sqref>Sheet1!$F$5</c15:sqref>
                        </c15:formulaRef>
                      </c:ext>
                    </c:extLst>
                    <c:strCache>
                      <c:ptCount val="1"/>
                    </c:strCache>
                  </c:strRef>
                </c:tx>
                <c:spPr>
                  <a:ln w="28575" cap="rnd">
                    <a:solidFill>
                      <a:schemeClr val="accent1">
                        <a:shade val="88000"/>
                      </a:schemeClr>
                    </a:solidFill>
                    <a:round/>
                  </a:ln>
                  <a:effectLst/>
                </c:spPr>
                <c:marker>
                  <c:symbol val="circle"/>
                  <c:size val="5"/>
                  <c:spPr>
                    <a:solidFill>
                      <a:schemeClr val="accent1">
                        <a:shade val="88000"/>
                      </a:schemeClr>
                    </a:solidFill>
                    <a:ln w="9525">
                      <a:solidFill>
                        <a:schemeClr val="accent1">
                          <a:shade val="88000"/>
                        </a:schemeClr>
                      </a:solidFill>
                    </a:ln>
                    <a:effectLst/>
                  </c:spPr>
                </c:marker>
                <c:cat>
                  <c:numRef>
                    <c:extLst xmlns:c15="http://schemas.microsoft.com/office/drawing/2012/chart">
                      <c:ext xmlns:c15="http://schemas.microsoft.com/office/drawing/2012/chart" uri="{02D57815-91ED-43cb-92C2-25804820EDAC}">
                        <c15:formulaRef>
                          <c15:sqref>Sheet1!$A$6:$A$17</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pt idx="11">
                        <c:v>20</c:v>
                      </c:pt>
                    </c:numCache>
                  </c:numRef>
                </c:cat>
                <c:val>
                  <c:numRef>
                    <c:extLst xmlns:c15="http://schemas.microsoft.com/office/drawing/2012/chart">
                      <c:ext xmlns:c15="http://schemas.microsoft.com/office/drawing/2012/chart" uri="{02D57815-91ED-43cb-92C2-25804820EDAC}">
                        <c15:formulaRef>
                          <c15:sqref>Sheet1!$F$6:$F$17</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4-2A7B-4FA9-AD0D-DD3D9BCDDA20}"/>
                  </c:ext>
                </c:extLst>
              </c15:ser>
            </c15:filteredLineSeries>
            <c15:filteredLineSeries>
              <c15:ser>
                <c:idx val="5"/>
                <c:order val="5"/>
                <c:tx>
                  <c:strRef>
                    <c:extLst xmlns:c15="http://schemas.microsoft.com/office/drawing/2012/chart">
                      <c:ext xmlns:c15="http://schemas.microsoft.com/office/drawing/2012/chart" uri="{02D57815-91ED-43cb-92C2-25804820EDAC}">
                        <c15:formulaRef>
                          <c15:sqref>Sheet1!$G$5</c15:sqref>
                        </c15:formulaRef>
                      </c:ext>
                    </c:extLst>
                    <c:strCache>
                      <c:ptCount val="1"/>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extLst xmlns:c15="http://schemas.microsoft.com/office/drawing/2012/chart">
                      <c:ext xmlns:c15="http://schemas.microsoft.com/office/drawing/2012/chart" uri="{02D57815-91ED-43cb-92C2-25804820EDAC}">
                        <c15:formulaRef>
                          <c15:sqref>Sheet1!$A$6:$A$17</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pt idx="11">
                        <c:v>20</c:v>
                      </c:pt>
                    </c:numCache>
                  </c:numRef>
                </c:cat>
                <c:val>
                  <c:numRef>
                    <c:extLst xmlns:c15="http://schemas.microsoft.com/office/drawing/2012/chart">
                      <c:ext xmlns:c15="http://schemas.microsoft.com/office/drawing/2012/chart" uri="{02D57815-91ED-43cb-92C2-25804820EDAC}">
                        <c15:formulaRef>
                          <c15:sqref>Sheet1!$G$6:$G$17</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5-2A7B-4FA9-AD0D-DD3D9BCDDA20}"/>
                  </c:ext>
                </c:extLst>
              </c15:ser>
            </c15:filteredLineSeries>
            <c15:filteredLineSeries>
              <c15:ser>
                <c:idx val="6"/>
                <c:order val="6"/>
                <c:tx>
                  <c:strRef>
                    <c:extLst xmlns:c15="http://schemas.microsoft.com/office/drawing/2012/chart">
                      <c:ext xmlns:c15="http://schemas.microsoft.com/office/drawing/2012/chart" uri="{02D57815-91ED-43cb-92C2-25804820EDAC}">
                        <c15:formulaRef>
                          <c15:sqref>Sheet1!$H$5</c15:sqref>
                        </c15:formulaRef>
                      </c:ext>
                    </c:extLst>
                    <c:strCache>
                      <c:ptCount val="1"/>
                    </c:strCache>
                  </c:strRef>
                </c:tx>
                <c:spPr>
                  <a:ln w="28575" cap="rnd">
                    <a:solidFill>
                      <a:schemeClr val="accent1">
                        <a:tint val="89000"/>
                      </a:schemeClr>
                    </a:solidFill>
                    <a:round/>
                  </a:ln>
                  <a:effectLst/>
                </c:spPr>
                <c:marker>
                  <c:symbol val="circle"/>
                  <c:size val="5"/>
                  <c:spPr>
                    <a:solidFill>
                      <a:schemeClr val="accent1">
                        <a:tint val="89000"/>
                      </a:schemeClr>
                    </a:solidFill>
                    <a:ln w="9525">
                      <a:solidFill>
                        <a:schemeClr val="accent1">
                          <a:tint val="89000"/>
                        </a:schemeClr>
                      </a:solidFill>
                    </a:ln>
                    <a:effectLst/>
                  </c:spPr>
                </c:marker>
                <c:cat>
                  <c:numRef>
                    <c:extLst xmlns:c15="http://schemas.microsoft.com/office/drawing/2012/chart">
                      <c:ext xmlns:c15="http://schemas.microsoft.com/office/drawing/2012/chart" uri="{02D57815-91ED-43cb-92C2-25804820EDAC}">
                        <c15:formulaRef>
                          <c15:sqref>Sheet1!$A$6:$A$17</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pt idx="11">
                        <c:v>20</c:v>
                      </c:pt>
                    </c:numCache>
                  </c:numRef>
                </c:cat>
                <c:val>
                  <c:numRef>
                    <c:extLst xmlns:c15="http://schemas.microsoft.com/office/drawing/2012/chart">
                      <c:ext xmlns:c15="http://schemas.microsoft.com/office/drawing/2012/chart" uri="{02D57815-91ED-43cb-92C2-25804820EDAC}">
                        <c15:formulaRef>
                          <c15:sqref>Sheet1!$H$6:$H$17</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6-2A7B-4FA9-AD0D-DD3D9BCDDA20}"/>
                  </c:ext>
                </c:extLst>
              </c15:ser>
            </c15:filteredLineSeries>
            <c15:filteredLineSeries>
              <c15:ser>
                <c:idx val="7"/>
                <c:order val="7"/>
                <c:tx>
                  <c:strRef>
                    <c:extLst xmlns:c15="http://schemas.microsoft.com/office/drawing/2012/chart">
                      <c:ext xmlns:c15="http://schemas.microsoft.com/office/drawing/2012/chart" uri="{02D57815-91ED-43cb-92C2-25804820EDAC}">
                        <c15:formulaRef>
                          <c15:sqref>Sheet1!$I$5</c15:sqref>
                        </c15:formulaRef>
                      </c:ext>
                    </c:extLst>
                    <c:strCache>
                      <c:ptCount val="1"/>
                    </c:strCache>
                  </c:strRef>
                </c:tx>
                <c:spPr>
                  <a:ln w="28575" cap="rnd">
                    <a:solidFill>
                      <a:schemeClr val="accent1">
                        <a:tint val="77000"/>
                      </a:schemeClr>
                    </a:solidFill>
                    <a:round/>
                  </a:ln>
                  <a:effectLst/>
                </c:spPr>
                <c:marker>
                  <c:symbol val="circle"/>
                  <c:size val="5"/>
                  <c:spPr>
                    <a:solidFill>
                      <a:schemeClr val="accent1">
                        <a:tint val="77000"/>
                      </a:schemeClr>
                    </a:solidFill>
                    <a:ln w="9525">
                      <a:solidFill>
                        <a:schemeClr val="accent1">
                          <a:tint val="77000"/>
                        </a:schemeClr>
                      </a:solidFill>
                    </a:ln>
                    <a:effectLst/>
                  </c:spPr>
                </c:marker>
                <c:cat>
                  <c:numRef>
                    <c:extLst xmlns:c15="http://schemas.microsoft.com/office/drawing/2012/chart">
                      <c:ext xmlns:c15="http://schemas.microsoft.com/office/drawing/2012/chart" uri="{02D57815-91ED-43cb-92C2-25804820EDAC}">
                        <c15:formulaRef>
                          <c15:sqref>Sheet1!$A$6:$A$17</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pt idx="11">
                        <c:v>20</c:v>
                      </c:pt>
                    </c:numCache>
                  </c:numRef>
                </c:cat>
                <c:val>
                  <c:numRef>
                    <c:extLst xmlns:c15="http://schemas.microsoft.com/office/drawing/2012/chart">
                      <c:ext xmlns:c15="http://schemas.microsoft.com/office/drawing/2012/chart" uri="{02D57815-91ED-43cb-92C2-25804820EDAC}">
                        <c15:formulaRef>
                          <c15:sqref>Sheet1!$I$6:$I$17</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7-2A7B-4FA9-AD0D-DD3D9BCDDA20}"/>
                  </c:ext>
                </c:extLst>
              </c15:ser>
            </c15:filteredLineSeries>
            <c15:filteredLineSeries>
              <c15:ser>
                <c:idx val="8"/>
                <c:order val="8"/>
                <c:tx>
                  <c:strRef>
                    <c:extLst xmlns:c15="http://schemas.microsoft.com/office/drawing/2012/chart">
                      <c:ext xmlns:c15="http://schemas.microsoft.com/office/drawing/2012/chart" uri="{02D57815-91ED-43cb-92C2-25804820EDAC}">
                        <c15:formulaRef>
                          <c15:sqref>Sheet1!$J$5</c15:sqref>
                        </c15:formulaRef>
                      </c:ext>
                    </c:extLst>
                    <c:strCache>
                      <c:ptCount val="1"/>
                    </c:strCache>
                  </c:strRef>
                </c:tx>
                <c:spPr>
                  <a:ln w="28575" cap="rnd">
                    <a:solidFill>
                      <a:schemeClr val="accent1">
                        <a:tint val="65000"/>
                      </a:schemeClr>
                    </a:solidFill>
                    <a:round/>
                  </a:ln>
                  <a:effectLst/>
                </c:spPr>
                <c:marker>
                  <c:symbol val="circle"/>
                  <c:size val="5"/>
                  <c:spPr>
                    <a:solidFill>
                      <a:schemeClr val="accent1">
                        <a:tint val="65000"/>
                      </a:schemeClr>
                    </a:solidFill>
                    <a:ln w="9525">
                      <a:solidFill>
                        <a:schemeClr val="accent1">
                          <a:tint val="65000"/>
                        </a:schemeClr>
                      </a:solidFill>
                    </a:ln>
                    <a:effectLst/>
                  </c:spPr>
                </c:marker>
                <c:cat>
                  <c:numRef>
                    <c:extLst xmlns:c15="http://schemas.microsoft.com/office/drawing/2012/chart">
                      <c:ext xmlns:c15="http://schemas.microsoft.com/office/drawing/2012/chart" uri="{02D57815-91ED-43cb-92C2-25804820EDAC}">
                        <c15:formulaRef>
                          <c15:sqref>Sheet1!$A$6:$A$17</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pt idx="11">
                        <c:v>20</c:v>
                      </c:pt>
                    </c:numCache>
                  </c:numRef>
                </c:cat>
                <c:val>
                  <c:numRef>
                    <c:extLst xmlns:c15="http://schemas.microsoft.com/office/drawing/2012/chart">
                      <c:ext xmlns:c15="http://schemas.microsoft.com/office/drawing/2012/chart" uri="{02D57815-91ED-43cb-92C2-25804820EDAC}">
                        <c15:formulaRef>
                          <c15:sqref>Sheet1!$J$6:$J$17</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8-2A7B-4FA9-AD0D-DD3D9BCDDA20}"/>
                  </c:ext>
                </c:extLst>
              </c15:ser>
            </c15:filteredLineSeries>
            <c15:filteredLineSeries>
              <c15:ser>
                <c:idx val="9"/>
                <c:order val="9"/>
                <c:tx>
                  <c:strRef>
                    <c:extLst xmlns:c15="http://schemas.microsoft.com/office/drawing/2012/chart">
                      <c:ext xmlns:c15="http://schemas.microsoft.com/office/drawing/2012/chart" uri="{02D57815-91ED-43cb-92C2-25804820EDAC}">
                        <c15:formulaRef>
                          <c15:sqref>Sheet1!$K$5</c15:sqref>
                        </c15:formulaRef>
                      </c:ext>
                    </c:extLst>
                    <c:strCache>
                      <c:ptCount val="1"/>
                    </c:strCache>
                  </c:strRef>
                </c:tx>
                <c:spPr>
                  <a:ln w="28575" cap="rnd">
                    <a:solidFill>
                      <a:schemeClr val="accent1">
                        <a:tint val="54000"/>
                      </a:schemeClr>
                    </a:solidFill>
                    <a:round/>
                  </a:ln>
                  <a:effectLst/>
                </c:spPr>
                <c:marker>
                  <c:symbol val="circle"/>
                  <c:size val="5"/>
                  <c:spPr>
                    <a:solidFill>
                      <a:schemeClr val="accent1">
                        <a:tint val="54000"/>
                      </a:schemeClr>
                    </a:solidFill>
                    <a:ln w="9525">
                      <a:solidFill>
                        <a:schemeClr val="accent1">
                          <a:tint val="54000"/>
                        </a:schemeClr>
                      </a:solidFill>
                    </a:ln>
                    <a:effectLst/>
                  </c:spPr>
                </c:marker>
                <c:cat>
                  <c:numRef>
                    <c:extLst xmlns:c15="http://schemas.microsoft.com/office/drawing/2012/chart">
                      <c:ext xmlns:c15="http://schemas.microsoft.com/office/drawing/2012/chart" uri="{02D57815-91ED-43cb-92C2-25804820EDAC}">
                        <c15:formulaRef>
                          <c15:sqref>Sheet1!$A$6:$A$17</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pt idx="11">
                        <c:v>20</c:v>
                      </c:pt>
                    </c:numCache>
                  </c:numRef>
                </c:cat>
                <c:val>
                  <c:numRef>
                    <c:extLst xmlns:c15="http://schemas.microsoft.com/office/drawing/2012/chart">
                      <c:ext xmlns:c15="http://schemas.microsoft.com/office/drawing/2012/chart" uri="{02D57815-91ED-43cb-92C2-25804820EDAC}">
                        <c15:formulaRef>
                          <c15:sqref>Sheet1!$K$6:$K$17</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9-2A7B-4FA9-AD0D-DD3D9BCDDA20}"/>
                  </c:ext>
                </c:extLst>
              </c15:ser>
            </c15:filteredLineSeries>
            <c15:filteredLineSeries>
              <c15:ser>
                <c:idx val="10"/>
                <c:order val="10"/>
                <c:tx>
                  <c:strRef>
                    <c:extLst xmlns:c15="http://schemas.microsoft.com/office/drawing/2012/chart">
                      <c:ext xmlns:c15="http://schemas.microsoft.com/office/drawing/2012/chart" uri="{02D57815-91ED-43cb-92C2-25804820EDAC}">
                        <c15:formulaRef>
                          <c15:sqref>Sheet1!$L$5</c15:sqref>
                        </c15:formulaRef>
                      </c:ext>
                    </c:extLst>
                    <c:strCache>
                      <c:ptCount val="1"/>
                    </c:strCache>
                  </c:strRef>
                </c:tx>
                <c:spPr>
                  <a:ln w="28575" cap="rnd">
                    <a:solidFill>
                      <a:schemeClr val="accent1">
                        <a:tint val="42000"/>
                      </a:schemeClr>
                    </a:solidFill>
                    <a:round/>
                  </a:ln>
                  <a:effectLst/>
                </c:spPr>
                <c:marker>
                  <c:symbol val="circle"/>
                  <c:size val="5"/>
                  <c:spPr>
                    <a:solidFill>
                      <a:schemeClr val="accent1">
                        <a:tint val="42000"/>
                      </a:schemeClr>
                    </a:solidFill>
                    <a:ln w="9525">
                      <a:solidFill>
                        <a:schemeClr val="accent1">
                          <a:tint val="42000"/>
                        </a:schemeClr>
                      </a:solidFill>
                    </a:ln>
                    <a:effectLst/>
                  </c:spPr>
                </c:marker>
                <c:cat>
                  <c:numRef>
                    <c:extLst xmlns:c15="http://schemas.microsoft.com/office/drawing/2012/chart">
                      <c:ext xmlns:c15="http://schemas.microsoft.com/office/drawing/2012/chart" uri="{02D57815-91ED-43cb-92C2-25804820EDAC}">
                        <c15:formulaRef>
                          <c15:sqref>Sheet1!$A$6:$A$17</c15:sqref>
                        </c15:formulaRef>
                      </c:ext>
                    </c:extLst>
                    <c:numCache>
                      <c:formatCode>General</c:formatCode>
                      <c:ptCount val="12"/>
                      <c:pt idx="0">
                        <c:v>2009</c:v>
                      </c:pt>
                      <c:pt idx="1">
                        <c:v>10</c:v>
                      </c:pt>
                      <c:pt idx="2">
                        <c:v>11</c:v>
                      </c:pt>
                      <c:pt idx="3">
                        <c:v>12</c:v>
                      </c:pt>
                      <c:pt idx="4">
                        <c:v>13</c:v>
                      </c:pt>
                      <c:pt idx="5">
                        <c:v>14</c:v>
                      </c:pt>
                      <c:pt idx="6">
                        <c:v>15</c:v>
                      </c:pt>
                      <c:pt idx="7">
                        <c:v>16</c:v>
                      </c:pt>
                      <c:pt idx="8">
                        <c:v>17</c:v>
                      </c:pt>
                      <c:pt idx="9">
                        <c:v>18</c:v>
                      </c:pt>
                      <c:pt idx="10">
                        <c:v>19</c:v>
                      </c:pt>
                      <c:pt idx="11">
                        <c:v>20</c:v>
                      </c:pt>
                    </c:numCache>
                  </c:numRef>
                </c:cat>
                <c:val>
                  <c:numRef>
                    <c:extLst xmlns:c15="http://schemas.microsoft.com/office/drawing/2012/chart">
                      <c:ext xmlns:c15="http://schemas.microsoft.com/office/drawing/2012/chart" uri="{02D57815-91ED-43cb-92C2-25804820EDAC}">
                        <c15:formulaRef>
                          <c15:sqref>Sheet1!$L$6:$L$17</c15:sqref>
                        </c15:formulaRef>
                      </c:ext>
                    </c:extLst>
                    <c:numCache>
                      <c:formatCode>General</c:formatCode>
                      <c:ptCount val="12"/>
                    </c:numCache>
                  </c:numRef>
                </c:val>
                <c:smooth val="0"/>
                <c:extLst xmlns:c15="http://schemas.microsoft.com/office/drawing/2012/chart">
                  <c:ext xmlns:c16="http://schemas.microsoft.com/office/drawing/2014/chart" uri="{C3380CC4-5D6E-409C-BE32-E72D297353CC}">
                    <c16:uniqueId val="{0000000A-2A7B-4FA9-AD0D-DD3D9BCDDA20}"/>
                  </c:ext>
                </c:extLst>
              </c15:ser>
            </c15:filteredLineSeries>
          </c:ext>
        </c:extLst>
      </c:lineChart>
      <c:catAx>
        <c:axId val="5680801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8077232"/>
        <c:crosses val="autoZero"/>
        <c:auto val="1"/>
        <c:lblAlgn val="ctr"/>
        <c:lblOffset val="100"/>
        <c:noMultiLvlLbl val="0"/>
      </c:catAx>
      <c:valAx>
        <c:axId val="56807723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8080184"/>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Banded">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Banded">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Smokey Glass">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6B7BE-F836-4BD0-9338-ED6D3D1FE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3064</Words>
  <Characters>17469</Characters>
  <Application>Microsoft Office Word</Application>
  <DocSecurity>4</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Department of Administration</Company>
  <LinksUpToDate>false</LinksUpToDate>
  <CharactersWithSpaces>20493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Pike</dc:creator>
  <cp:lastModifiedBy>Diane Blume</cp:lastModifiedBy>
  <cp:revision>2</cp:revision>
  <cp:lastPrinted>2019-07-31T21:09:00Z</cp:lastPrinted>
  <dcterms:created xsi:type="dcterms:W3CDTF">2019-08-05T20:36:00Z</dcterms:created>
  <dcterms:modified xsi:type="dcterms:W3CDTF">2019-08-05T20:36:00Z</dcterms:modified>
</cp:coreProperties>
</file>