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9C1" w14:textId="17DB2CB4" w:rsidR="00C542F1" w:rsidRDefault="00A96746" w:rsidP="00C542F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06324FE" w14:textId="77777777" w:rsidR="00C542F1" w:rsidRDefault="00C542F1" w:rsidP="00C542F1">
      <w:pPr>
        <w:pStyle w:val="NoSpacing"/>
        <w:rPr>
          <w:rFonts w:ascii="Verdana" w:hAnsi="Verdana"/>
        </w:rPr>
      </w:pPr>
    </w:p>
    <w:p w14:paraId="568F030F" w14:textId="77777777" w:rsidR="00C542F1" w:rsidRDefault="00B16BAD" w:rsidP="00C542F1">
      <w:pPr>
        <w:pStyle w:val="NoSpacing"/>
        <w:jc w:val="center"/>
        <w:rPr>
          <w:rFonts w:ascii="Verdana" w:hAnsi="Verdana"/>
        </w:rPr>
      </w:pPr>
      <w:r>
        <w:rPr>
          <w:noProof/>
        </w:rPr>
        <w:t>-</w:t>
      </w:r>
      <w:r w:rsidR="00AA2323">
        <w:rPr>
          <w:noProof/>
        </w:rPr>
        <w:t xml:space="preserve">  </w:t>
      </w:r>
      <w:r w:rsidR="00C542F1">
        <w:rPr>
          <w:noProof/>
        </w:rPr>
        <w:drawing>
          <wp:inline distT="0" distB="0" distL="0" distR="0" wp14:anchorId="5E9F0D6A" wp14:editId="16D27965">
            <wp:extent cx="2494842" cy="2502569"/>
            <wp:effectExtent l="0" t="0" r="1270" b="0"/>
            <wp:docPr id="1" name="Picture 1" descr="http://www.sos.idaho.gov/stateseal/Color/Se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.idaho.gov/stateseal/Color/Sea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05" cy="250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27AC" w14:textId="77777777" w:rsidR="00C542F1" w:rsidRDefault="00C542F1" w:rsidP="00C542F1">
      <w:pPr>
        <w:pStyle w:val="NoSpacing"/>
        <w:rPr>
          <w:rFonts w:ascii="Verdana" w:hAnsi="Verdana"/>
        </w:rPr>
      </w:pPr>
    </w:p>
    <w:p w14:paraId="747FC76D" w14:textId="77777777" w:rsidR="00C542F1" w:rsidRDefault="00C542F1" w:rsidP="00C542F1">
      <w:pPr>
        <w:pStyle w:val="NoSpacing"/>
        <w:rPr>
          <w:rFonts w:ascii="Verdana" w:hAnsi="Verdana"/>
        </w:rPr>
      </w:pPr>
    </w:p>
    <w:p w14:paraId="6512878C" w14:textId="77777777" w:rsidR="00C542F1" w:rsidRDefault="00C542F1" w:rsidP="00C542F1">
      <w:pPr>
        <w:pStyle w:val="NoSpacing"/>
        <w:rPr>
          <w:rFonts w:ascii="Verdana" w:hAnsi="Verdana"/>
        </w:rPr>
      </w:pPr>
    </w:p>
    <w:p w14:paraId="12E6F5E1" w14:textId="77777777" w:rsidR="00C542F1" w:rsidRDefault="00C542F1" w:rsidP="00C542F1">
      <w:pPr>
        <w:pStyle w:val="NoSpacing"/>
        <w:rPr>
          <w:rFonts w:ascii="Verdana" w:hAnsi="Verdana"/>
        </w:rPr>
      </w:pPr>
    </w:p>
    <w:p w14:paraId="4173816B" w14:textId="77777777" w:rsidR="00607AFC" w:rsidRPr="00A200F4" w:rsidRDefault="00C542F1" w:rsidP="00C542F1">
      <w:pPr>
        <w:pStyle w:val="NoSpacing"/>
        <w:jc w:val="center"/>
        <w:rPr>
          <w:rFonts w:ascii="Verdana" w:hAnsi="Verdana"/>
          <w:sz w:val="44"/>
        </w:rPr>
      </w:pPr>
      <w:r w:rsidRPr="00A200F4">
        <w:rPr>
          <w:rFonts w:ascii="Verdana" w:hAnsi="Verdana"/>
          <w:sz w:val="44"/>
        </w:rPr>
        <w:t xml:space="preserve">Industrial Special Indemnity Fund </w:t>
      </w:r>
    </w:p>
    <w:p w14:paraId="0738C70F" w14:textId="77777777" w:rsidR="00C542F1" w:rsidRPr="00A200F4" w:rsidRDefault="00C542F1" w:rsidP="00C542F1">
      <w:pPr>
        <w:pStyle w:val="NoSpacing"/>
        <w:jc w:val="center"/>
        <w:rPr>
          <w:rFonts w:ascii="Verdana" w:hAnsi="Verdana"/>
          <w:sz w:val="44"/>
        </w:rPr>
      </w:pPr>
      <w:r w:rsidRPr="00A200F4">
        <w:rPr>
          <w:rFonts w:ascii="Verdana" w:hAnsi="Verdana"/>
          <w:sz w:val="44"/>
        </w:rPr>
        <w:t>(ISIF)</w:t>
      </w:r>
    </w:p>
    <w:p w14:paraId="34AAFA0F" w14:textId="77777777" w:rsidR="00601526" w:rsidRPr="00C542F1" w:rsidRDefault="00601526" w:rsidP="00C542F1">
      <w:pPr>
        <w:pStyle w:val="NoSpacing"/>
        <w:jc w:val="center"/>
        <w:rPr>
          <w:rFonts w:ascii="Verdana" w:hAnsi="Verdana"/>
          <w:sz w:val="44"/>
        </w:rPr>
      </w:pPr>
    </w:p>
    <w:p w14:paraId="1E47DE07" w14:textId="77777777" w:rsidR="00C542F1" w:rsidRPr="00464822" w:rsidRDefault="00C542F1" w:rsidP="00C542F1">
      <w:pPr>
        <w:pStyle w:val="NoSpacing"/>
        <w:jc w:val="center"/>
        <w:rPr>
          <w:rFonts w:ascii="Verdana" w:hAnsi="Verdana"/>
          <w:bCs/>
          <w:sz w:val="44"/>
        </w:rPr>
      </w:pPr>
      <w:r w:rsidRPr="00464822">
        <w:rPr>
          <w:rFonts w:ascii="Verdana" w:hAnsi="Verdana"/>
          <w:bCs/>
          <w:sz w:val="44"/>
        </w:rPr>
        <w:t>Annual Report</w:t>
      </w:r>
    </w:p>
    <w:p w14:paraId="3BA13028" w14:textId="0C63C9AC" w:rsidR="00692C3F" w:rsidRDefault="00A706B0" w:rsidP="00AC612F">
      <w:pPr>
        <w:pStyle w:val="NoSpacing"/>
        <w:jc w:val="center"/>
        <w:rPr>
          <w:rFonts w:ascii="Verdana" w:hAnsi="Verdana"/>
          <w:bCs/>
          <w:sz w:val="44"/>
        </w:rPr>
      </w:pPr>
      <w:r w:rsidRPr="00464822">
        <w:rPr>
          <w:rFonts w:ascii="Verdana" w:hAnsi="Verdana"/>
          <w:bCs/>
          <w:sz w:val="44"/>
        </w:rPr>
        <w:t>FISCAL YEAR</w:t>
      </w:r>
      <w:r w:rsidR="006C45F9" w:rsidRPr="00464822">
        <w:rPr>
          <w:rFonts w:ascii="Verdana" w:hAnsi="Verdana"/>
          <w:bCs/>
          <w:sz w:val="44"/>
        </w:rPr>
        <w:t xml:space="preserve"> 20</w:t>
      </w:r>
      <w:r w:rsidR="00F06BD7" w:rsidRPr="00464822">
        <w:rPr>
          <w:rFonts w:ascii="Verdana" w:hAnsi="Verdana"/>
          <w:bCs/>
          <w:sz w:val="44"/>
        </w:rPr>
        <w:t>2</w:t>
      </w:r>
      <w:r w:rsidRPr="00464822">
        <w:rPr>
          <w:rFonts w:ascii="Verdana" w:hAnsi="Verdana"/>
          <w:bCs/>
          <w:sz w:val="44"/>
        </w:rPr>
        <w:t>1</w:t>
      </w:r>
      <w:r w:rsidR="006C45F9" w:rsidRPr="00464822">
        <w:rPr>
          <w:rFonts w:ascii="Verdana" w:hAnsi="Verdana"/>
          <w:bCs/>
          <w:sz w:val="44"/>
        </w:rPr>
        <w:t xml:space="preserve">   </w:t>
      </w:r>
    </w:p>
    <w:p w14:paraId="6B3C93A3" w14:textId="77777777" w:rsidR="00AC612F" w:rsidRPr="00AC612F" w:rsidRDefault="00AC612F" w:rsidP="00AC612F">
      <w:pPr>
        <w:pStyle w:val="NoSpacing"/>
        <w:jc w:val="center"/>
        <w:rPr>
          <w:rFonts w:ascii="Verdana" w:hAnsi="Verdana"/>
          <w:bCs/>
          <w:sz w:val="44"/>
        </w:rPr>
      </w:pPr>
    </w:p>
    <w:p w14:paraId="31C143E0" w14:textId="77777777" w:rsidR="00C542F1" w:rsidRDefault="00C542F1" w:rsidP="00C542F1">
      <w:pPr>
        <w:pStyle w:val="NoSpacing"/>
        <w:jc w:val="center"/>
        <w:rPr>
          <w:rFonts w:ascii="Verdana" w:hAnsi="Verdana"/>
          <w:sz w:val="36"/>
        </w:rP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0"/>
      </w:tblGrid>
      <w:tr w:rsidR="00C542F1" w14:paraId="23E8114B" w14:textId="77777777" w:rsidTr="00C542F1">
        <w:tc>
          <w:tcPr>
            <w:tcW w:w="5130" w:type="dxa"/>
          </w:tcPr>
          <w:p w14:paraId="5E55BDF1" w14:textId="77777777" w:rsidR="00C542F1" w:rsidRPr="0070194D" w:rsidRDefault="00C542F1" w:rsidP="00C542F1">
            <w:pPr>
              <w:pStyle w:val="NoSpacing"/>
              <w:jc w:val="center"/>
              <w:rPr>
                <w:rFonts w:ascii="Verdana" w:hAnsi="Verdana"/>
                <w:sz w:val="36"/>
              </w:rPr>
            </w:pPr>
            <w:r w:rsidRPr="0070194D">
              <w:rPr>
                <w:rFonts w:ascii="Verdana" w:hAnsi="Verdana"/>
                <w:sz w:val="28"/>
                <w:szCs w:val="28"/>
              </w:rPr>
              <w:t>Department of Administration</w:t>
            </w:r>
          </w:p>
        </w:tc>
        <w:tc>
          <w:tcPr>
            <w:tcW w:w="5220" w:type="dxa"/>
          </w:tcPr>
          <w:p w14:paraId="1A64B107" w14:textId="77777777" w:rsidR="00C542F1" w:rsidRPr="0070194D" w:rsidRDefault="00C542F1" w:rsidP="00C542F1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70194D">
              <w:rPr>
                <w:rFonts w:ascii="Verdana" w:hAnsi="Verdana"/>
                <w:sz w:val="28"/>
                <w:szCs w:val="28"/>
              </w:rPr>
              <w:t>Industrial Special Indemnity Fund</w:t>
            </w:r>
          </w:p>
        </w:tc>
      </w:tr>
      <w:tr w:rsidR="00C542F1" w:rsidRPr="00121859" w14:paraId="06FE4042" w14:textId="77777777" w:rsidTr="00C542F1">
        <w:tc>
          <w:tcPr>
            <w:tcW w:w="5130" w:type="dxa"/>
          </w:tcPr>
          <w:p w14:paraId="18EC231F" w14:textId="77777777" w:rsidR="00C542F1" w:rsidRPr="0070194D" w:rsidRDefault="00F06BD7" w:rsidP="00C542F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Keith Reynolds</w:t>
            </w:r>
            <w:r w:rsidR="00C542F1" w:rsidRPr="0070194D">
              <w:rPr>
                <w:rFonts w:ascii="Verdana" w:hAnsi="Verdana"/>
                <w:sz w:val="24"/>
                <w:szCs w:val="24"/>
              </w:rPr>
              <w:t xml:space="preserve">, Director               </w:t>
            </w:r>
          </w:p>
        </w:tc>
        <w:tc>
          <w:tcPr>
            <w:tcW w:w="5220" w:type="dxa"/>
          </w:tcPr>
          <w:p w14:paraId="360C0A91" w14:textId="77777777" w:rsidR="00C542F1" w:rsidRPr="0070194D" w:rsidRDefault="00F06BD7" w:rsidP="00C542F1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Kim Murphy</w:t>
            </w:r>
            <w:r w:rsidR="00C542F1" w:rsidRPr="0070194D">
              <w:rPr>
                <w:rFonts w:ascii="Verdana" w:hAnsi="Verdana"/>
                <w:sz w:val="24"/>
                <w:szCs w:val="24"/>
              </w:rPr>
              <w:t>, Manager</w:t>
            </w:r>
          </w:p>
        </w:tc>
      </w:tr>
    </w:tbl>
    <w:p w14:paraId="41EA944D" w14:textId="77777777" w:rsidR="00E826AB" w:rsidRPr="00121859" w:rsidRDefault="00E826AB" w:rsidP="003C008C">
      <w:pPr>
        <w:pStyle w:val="NoSpacing"/>
        <w:rPr>
          <w:rFonts w:ascii="Verdana" w:hAnsi="Verdana"/>
          <w:sz w:val="24"/>
          <w:szCs w:val="24"/>
        </w:rPr>
      </w:pPr>
    </w:p>
    <w:p w14:paraId="5F482689" w14:textId="77777777" w:rsidR="00C542F1" w:rsidRDefault="00F06BD7" w:rsidP="00C542F1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650 W. State Street, Room 100</w:t>
      </w:r>
      <w:r w:rsidR="003439AB">
        <w:rPr>
          <w:rFonts w:ascii="Verdana" w:hAnsi="Verdana"/>
          <w:sz w:val="24"/>
          <w:szCs w:val="24"/>
        </w:rPr>
        <w:t xml:space="preserve">, </w:t>
      </w:r>
      <w:r w:rsidR="00C542F1" w:rsidRPr="00121859">
        <w:rPr>
          <w:rFonts w:ascii="Verdana" w:hAnsi="Verdana"/>
          <w:sz w:val="24"/>
          <w:szCs w:val="24"/>
        </w:rPr>
        <w:t>Boise, ID 83702</w:t>
      </w:r>
    </w:p>
    <w:p w14:paraId="6DFB4A6E" w14:textId="77777777" w:rsidR="003439AB" w:rsidRDefault="003439AB" w:rsidP="00C542F1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 Box 83720, Boise, ID 83720-7901</w:t>
      </w:r>
    </w:p>
    <w:p w14:paraId="017442BB" w14:textId="6430A9D1" w:rsidR="003C008C" w:rsidRPr="003C008C" w:rsidRDefault="00E111EE" w:rsidP="003C008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(208) 332-183</w:t>
      </w:r>
      <w:r w:rsidR="00F06BD7">
        <w:rPr>
          <w:rFonts w:ascii="Verdana" w:hAnsi="Verdana"/>
          <w:sz w:val="24"/>
          <w:szCs w:val="24"/>
        </w:rPr>
        <w:t>7</w:t>
      </w:r>
    </w:p>
    <w:p w14:paraId="3989B251" w14:textId="71A313E0" w:rsidR="002D56C6" w:rsidRDefault="002D56C6" w:rsidP="00DC2329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1FBF0303" w14:textId="0FC6EB5D" w:rsidR="003C008C" w:rsidRDefault="003C008C" w:rsidP="00E412AE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7599C0F2" w14:textId="0DF8D159" w:rsidR="003C008C" w:rsidRDefault="003C008C" w:rsidP="003C008C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           </w:t>
      </w:r>
      <w:r w:rsidRPr="003C008C">
        <w:rPr>
          <w:i/>
          <w:iCs/>
        </w:rPr>
        <w:t>“We serve Idaho by promoting responsible government through expert customer support.”</w:t>
      </w:r>
    </w:p>
    <w:p w14:paraId="1D8403FF" w14:textId="77777777" w:rsidR="00AC612F" w:rsidRDefault="00AC612F" w:rsidP="003C008C">
      <w:pPr>
        <w:pStyle w:val="NoSpacing"/>
        <w:jc w:val="center"/>
        <w:rPr>
          <w:i/>
          <w:iCs/>
        </w:rPr>
      </w:pPr>
    </w:p>
    <w:p w14:paraId="2CEFD6C2" w14:textId="080E8D2C" w:rsidR="00E412AE" w:rsidRDefault="00E412AE" w:rsidP="003C008C">
      <w:pPr>
        <w:pStyle w:val="NoSpacing"/>
        <w:jc w:val="center"/>
        <w:rPr>
          <w:i/>
          <w:iCs/>
          <w:u w:val="single"/>
        </w:rPr>
      </w:pPr>
    </w:p>
    <w:p w14:paraId="314A8968" w14:textId="6C9A1E1B" w:rsidR="00E412AE" w:rsidRDefault="00E412AE" w:rsidP="003C008C">
      <w:pPr>
        <w:pStyle w:val="NoSpacing"/>
        <w:jc w:val="center"/>
        <w:rPr>
          <w:rFonts w:ascii="Verdana" w:hAnsi="Verdana"/>
          <w:sz w:val="20"/>
          <w:szCs w:val="20"/>
        </w:rPr>
      </w:pPr>
      <w:r w:rsidRPr="003C008C">
        <w:rPr>
          <w:rFonts w:ascii="Verdana" w:hAnsi="Verdana"/>
          <w:sz w:val="20"/>
          <w:szCs w:val="20"/>
        </w:rPr>
        <w:t>www.adm.idaho.gov</w:t>
      </w:r>
    </w:p>
    <w:p w14:paraId="6F81F528" w14:textId="09A00C94" w:rsidR="00AC612F" w:rsidRDefault="00AC612F" w:rsidP="003C008C">
      <w:pPr>
        <w:pStyle w:val="NoSpacing"/>
        <w:jc w:val="center"/>
        <w:rPr>
          <w:rFonts w:ascii="Verdana" w:hAnsi="Verdana"/>
          <w:u w:val="single"/>
        </w:rPr>
      </w:pPr>
    </w:p>
    <w:p w14:paraId="5C0F32AD" w14:textId="77777777" w:rsidR="00FB223C" w:rsidRPr="003C008C" w:rsidRDefault="00FB223C" w:rsidP="003C008C">
      <w:pPr>
        <w:pStyle w:val="NoSpacing"/>
        <w:jc w:val="center"/>
        <w:rPr>
          <w:rFonts w:ascii="Verdana" w:hAnsi="Verdana"/>
          <w:u w:val="single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5A5C1" w:themeFill="background2" w:themeFillShade="BF"/>
        <w:tblLook w:val="04A0" w:firstRow="1" w:lastRow="0" w:firstColumn="1" w:lastColumn="0" w:noHBand="0" w:noVBand="1"/>
      </w:tblPr>
      <w:tblGrid>
        <w:gridCol w:w="9450"/>
      </w:tblGrid>
      <w:tr w:rsidR="00E77251" w:rsidRPr="00850EA2" w14:paraId="25280BAD" w14:textId="77777777" w:rsidTr="0027469C">
        <w:tc>
          <w:tcPr>
            <w:tcW w:w="9450" w:type="dxa"/>
            <w:shd w:val="clear" w:color="auto" w:fill="002060"/>
          </w:tcPr>
          <w:p w14:paraId="2B1A25C7" w14:textId="0F87AE3C" w:rsidR="00E77251" w:rsidRPr="00363607" w:rsidRDefault="00DE78E2" w:rsidP="00275C81">
            <w:pPr>
              <w:pStyle w:val="NoSpacing"/>
              <w:tabs>
                <w:tab w:val="left" w:pos="495"/>
                <w:tab w:val="left" w:pos="2550"/>
                <w:tab w:val="center" w:pos="4617"/>
                <w:tab w:val="right" w:pos="9234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>
              <w:rPr>
                <w:rFonts w:cstheme="minorHAnsi"/>
                <w:b/>
                <w:sz w:val="28"/>
                <w:szCs w:val="28"/>
              </w:rPr>
              <w:tab/>
            </w:r>
            <w:r w:rsidR="00E77251" w:rsidRPr="00363607">
              <w:rPr>
                <w:rFonts w:cstheme="minorHAnsi"/>
                <w:b/>
                <w:sz w:val="28"/>
                <w:szCs w:val="28"/>
              </w:rPr>
              <w:t>INTRODUCTION TO ISIF</w:t>
            </w:r>
            <w:r w:rsidR="00275C81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</w:tbl>
    <w:p w14:paraId="0C54B129" w14:textId="77777777" w:rsidR="00E77251" w:rsidRPr="00850EA2" w:rsidRDefault="00E77251" w:rsidP="00C542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1D260C" w14:textId="77777777" w:rsidR="001B490B" w:rsidRPr="00850EA2" w:rsidRDefault="001B490B" w:rsidP="00C542F1">
      <w:pPr>
        <w:pStyle w:val="NoSpacing"/>
        <w:jc w:val="center"/>
        <w:rPr>
          <w:rFonts w:ascii="Arial" w:hAnsi="Arial" w:cs="Arial"/>
          <w:b/>
        </w:rPr>
      </w:pPr>
    </w:p>
    <w:p w14:paraId="087C15F9" w14:textId="77777777" w:rsidR="00FB223C" w:rsidRDefault="00FB223C" w:rsidP="003B6BD2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01495E06" w14:textId="4E17F76E" w:rsidR="006A2473" w:rsidRPr="003B6BD2" w:rsidRDefault="003B6BD2" w:rsidP="003B6BD2">
      <w:pPr>
        <w:pStyle w:val="NoSpacing"/>
        <w:ind w:right="-720"/>
        <w:jc w:val="both"/>
        <w:rPr>
          <w:rFonts w:cstheme="minorHAnsi"/>
          <w:sz w:val="24"/>
          <w:szCs w:val="24"/>
        </w:rPr>
      </w:pPr>
      <w:r w:rsidRPr="003B6BD2">
        <w:rPr>
          <w:rFonts w:cstheme="minorHAnsi"/>
          <w:sz w:val="24"/>
          <w:szCs w:val="24"/>
        </w:rPr>
        <w:t>The purpose and management of the ISIF, often referred to as the “</w:t>
      </w:r>
      <w:r w:rsidR="00363607">
        <w:rPr>
          <w:rFonts w:cstheme="minorHAnsi"/>
          <w:sz w:val="24"/>
          <w:szCs w:val="24"/>
        </w:rPr>
        <w:t>S</w:t>
      </w:r>
      <w:r w:rsidRPr="003B6BD2">
        <w:rPr>
          <w:rFonts w:cstheme="minorHAnsi"/>
          <w:sz w:val="24"/>
          <w:szCs w:val="24"/>
        </w:rPr>
        <w:t xml:space="preserve">econd </w:t>
      </w:r>
      <w:r w:rsidR="00363607">
        <w:rPr>
          <w:rFonts w:cstheme="minorHAnsi"/>
          <w:sz w:val="24"/>
          <w:szCs w:val="24"/>
        </w:rPr>
        <w:t>I</w:t>
      </w:r>
      <w:r w:rsidRPr="003B6BD2">
        <w:rPr>
          <w:rFonts w:cstheme="minorHAnsi"/>
          <w:sz w:val="24"/>
          <w:szCs w:val="24"/>
        </w:rPr>
        <w:t xml:space="preserve">njury </w:t>
      </w:r>
      <w:r w:rsidR="00363607">
        <w:rPr>
          <w:rFonts w:cstheme="minorHAnsi"/>
          <w:sz w:val="24"/>
          <w:szCs w:val="24"/>
        </w:rPr>
        <w:t>F</w:t>
      </w:r>
      <w:r w:rsidRPr="003B6BD2">
        <w:rPr>
          <w:rFonts w:cstheme="minorHAnsi"/>
          <w:sz w:val="24"/>
          <w:szCs w:val="24"/>
        </w:rPr>
        <w:t xml:space="preserve">und,” can be found in Idaho Code §§ 323 – 334.  </w:t>
      </w:r>
      <w:r w:rsidR="006A24F9" w:rsidRPr="003B6BD2">
        <w:rPr>
          <w:rFonts w:cstheme="minorHAnsi"/>
          <w:sz w:val="24"/>
          <w:szCs w:val="24"/>
        </w:rPr>
        <w:t xml:space="preserve">Its general </w:t>
      </w:r>
      <w:r w:rsidR="00FD32B4">
        <w:rPr>
          <w:rFonts w:cstheme="minorHAnsi"/>
          <w:sz w:val="24"/>
          <w:szCs w:val="24"/>
        </w:rPr>
        <w:t>purpose</w:t>
      </w:r>
      <w:r w:rsidR="007E456E">
        <w:rPr>
          <w:rFonts w:cstheme="minorHAnsi"/>
          <w:sz w:val="24"/>
          <w:szCs w:val="24"/>
        </w:rPr>
        <w:t xml:space="preserve"> is to </w:t>
      </w:r>
      <w:r w:rsidR="006A24F9" w:rsidRPr="003B6BD2">
        <w:rPr>
          <w:rFonts w:cstheme="minorHAnsi"/>
          <w:sz w:val="24"/>
          <w:szCs w:val="24"/>
        </w:rPr>
        <w:t xml:space="preserve"> o</w:t>
      </w:r>
      <w:r w:rsidR="007E456E">
        <w:rPr>
          <w:rFonts w:cstheme="minorHAnsi"/>
          <w:sz w:val="24"/>
          <w:szCs w:val="24"/>
        </w:rPr>
        <w:t xml:space="preserve">ffer </w:t>
      </w:r>
      <w:r w:rsidR="006A24F9" w:rsidRPr="003B6BD2">
        <w:rPr>
          <w:rFonts w:cstheme="minorHAnsi"/>
          <w:sz w:val="24"/>
          <w:szCs w:val="24"/>
        </w:rPr>
        <w:t xml:space="preserve"> employers and sureties relief from having full responsibility </w:t>
      </w:r>
      <w:r w:rsidR="00363607">
        <w:rPr>
          <w:rFonts w:cstheme="minorHAnsi"/>
          <w:sz w:val="24"/>
          <w:szCs w:val="24"/>
        </w:rPr>
        <w:t xml:space="preserve">for </w:t>
      </w:r>
      <w:r w:rsidR="006A24F9" w:rsidRPr="003B6BD2">
        <w:rPr>
          <w:rFonts w:cstheme="minorHAnsi"/>
          <w:sz w:val="24"/>
          <w:szCs w:val="24"/>
        </w:rPr>
        <w:t>paying lifetime benefits should a</w:t>
      </w:r>
      <w:r w:rsidR="00650026">
        <w:rPr>
          <w:rFonts w:cstheme="minorHAnsi"/>
          <w:sz w:val="24"/>
          <w:szCs w:val="24"/>
        </w:rPr>
        <w:t xml:space="preserve"> </w:t>
      </w:r>
      <w:r w:rsidR="006A24F9" w:rsidRPr="003B6BD2">
        <w:rPr>
          <w:rFonts w:cstheme="minorHAnsi"/>
          <w:sz w:val="24"/>
          <w:szCs w:val="24"/>
        </w:rPr>
        <w:t xml:space="preserve">worker become totally and permanently disabled following a </w:t>
      </w:r>
      <w:r w:rsidR="007E456E">
        <w:rPr>
          <w:rFonts w:cstheme="minorHAnsi"/>
          <w:sz w:val="24"/>
          <w:szCs w:val="24"/>
        </w:rPr>
        <w:t xml:space="preserve">last accident at </w:t>
      </w:r>
      <w:r w:rsidR="006A24F9" w:rsidRPr="003B6BD2">
        <w:rPr>
          <w:rFonts w:cstheme="minorHAnsi"/>
          <w:sz w:val="24"/>
          <w:szCs w:val="24"/>
        </w:rPr>
        <w:t>work.</w:t>
      </w:r>
      <w:r w:rsidR="00CE118F" w:rsidRPr="003B6BD2">
        <w:rPr>
          <w:rFonts w:cstheme="minorHAnsi"/>
          <w:sz w:val="24"/>
          <w:szCs w:val="24"/>
        </w:rPr>
        <w:t xml:space="preserve"> </w:t>
      </w:r>
    </w:p>
    <w:p w14:paraId="76A8C07A" w14:textId="77777777" w:rsidR="006A2473" w:rsidRPr="003B6BD2" w:rsidRDefault="006A2473" w:rsidP="003B6BD2">
      <w:pPr>
        <w:pStyle w:val="NoSpacing"/>
        <w:ind w:left="-540" w:right="-720"/>
        <w:jc w:val="both"/>
        <w:rPr>
          <w:rFonts w:cstheme="minorHAnsi"/>
          <w:sz w:val="24"/>
          <w:szCs w:val="24"/>
        </w:rPr>
      </w:pPr>
    </w:p>
    <w:p w14:paraId="42ED0048" w14:textId="739C5E1E" w:rsidR="006A2473" w:rsidRDefault="006A2473" w:rsidP="003B6BD2">
      <w:pPr>
        <w:pStyle w:val="NoSpacing"/>
        <w:ind w:right="-720"/>
        <w:jc w:val="both"/>
        <w:rPr>
          <w:rFonts w:cstheme="minorHAnsi"/>
          <w:sz w:val="24"/>
          <w:szCs w:val="24"/>
        </w:rPr>
      </w:pPr>
      <w:r w:rsidRPr="003B6BD2">
        <w:rPr>
          <w:rFonts w:cstheme="minorHAnsi"/>
          <w:sz w:val="24"/>
          <w:szCs w:val="24"/>
        </w:rPr>
        <w:t>Funding for the ISIF is provided by an annual assessment</w:t>
      </w:r>
      <w:r w:rsidR="003320DA" w:rsidRPr="003B6BD2">
        <w:rPr>
          <w:rFonts w:cstheme="minorHAnsi"/>
          <w:sz w:val="24"/>
          <w:szCs w:val="24"/>
        </w:rPr>
        <w:t xml:space="preserve"> to sureties and self-insured employers</w:t>
      </w:r>
      <w:r w:rsidRPr="003B6BD2">
        <w:rPr>
          <w:rFonts w:cstheme="minorHAnsi"/>
          <w:sz w:val="24"/>
          <w:szCs w:val="24"/>
        </w:rPr>
        <w:t>.</w:t>
      </w:r>
      <w:r w:rsidR="00881B7A">
        <w:rPr>
          <w:rFonts w:cstheme="minorHAnsi"/>
          <w:sz w:val="24"/>
          <w:szCs w:val="24"/>
        </w:rPr>
        <w:t xml:space="preserve">  The assessment is calculated based on two times the amount of expenses incurred during the previous fiscal year less the existing cash balance.</w:t>
      </w:r>
      <w:r w:rsidRPr="003B6BD2">
        <w:rPr>
          <w:rFonts w:cstheme="minorHAnsi"/>
          <w:sz w:val="24"/>
          <w:szCs w:val="24"/>
        </w:rPr>
        <w:t xml:space="preserve"> Through an inter-agency </w:t>
      </w:r>
      <w:r w:rsidR="007E456E">
        <w:rPr>
          <w:rFonts w:cstheme="minorHAnsi"/>
          <w:sz w:val="24"/>
          <w:szCs w:val="24"/>
        </w:rPr>
        <w:t>contract</w:t>
      </w:r>
      <w:r w:rsidR="003320DA" w:rsidRPr="003B6BD2">
        <w:rPr>
          <w:rFonts w:cstheme="minorHAnsi"/>
          <w:sz w:val="24"/>
          <w:szCs w:val="24"/>
        </w:rPr>
        <w:t>, the Idaho Industrial Commission invoices each responsible entity for their proportionate share of the assessment and collects funds on behalf of the ISIF.</w:t>
      </w:r>
    </w:p>
    <w:p w14:paraId="1DD0B3B6" w14:textId="6A8B1C64" w:rsidR="00F66C18" w:rsidRDefault="00F66C18" w:rsidP="003B6BD2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36EDBB1F" w14:textId="77777777" w:rsidR="00F66C18" w:rsidRDefault="00F66C18" w:rsidP="00F66C1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1C6D7" w:themeFill="background2" w:themeFillShade="E6"/>
        <w:tblLook w:val="04A0" w:firstRow="1" w:lastRow="0" w:firstColumn="1" w:lastColumn="0" w:noHBand="0" w:noVBand="1"/>
      </w:tblPr>
      <w:tblGrid>
        <w:gridCol w:w="9450"/>
      </w:tblGrid>
      <w:tr w:rsidR="00F66C18" w:rsidRPr="00191819" w14:paraId="2FE6052C" w14:textId="77777777" w:rsidTr="0027469C">
        <w:trPr>
          <w:trHeight w:val="315"/>
        </w:trPr>
        <w:tc>
          <w:tcPr>
            <w:tcW w:w="9450" w:type="dxa"/>
            <w:shd w:val="clear" w:color="auto" w:fill="002060"/>
          </w:tcPr>
          <w:p w14:paraId="5930602A" w14:textId="77777777" w:rsidR="00F66C18" w:rsidRPr="00C80520" w:rsidRDefault="00F66C18" w:rsidP="0084681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0520">
              <w:rPr>
                <w:rFonts w:cstheme="minorHAnsi"/>
                <w:b/>
                <w:sz w:val="28"/>
                <w:szCs w:val="28"/>
              </w:rPr>
              <w:t>COVID-19</w:t>
            </w:r>
          </w:p>
        </w:tc>
      </w:tr>
    </w:tbl>
    <w:p w14:paraId="266141A0" w14:textId="77777777" w:rsidR="00F66C18" w:rsidRPr="0046068B" w:rsidRDefault="00F66C18" w:rsidP="00F66C18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A92A149" w14:textId="77777777" w:rsidR="00FB223C" w:rsidRDefault="00FB223C" w:rsidP="00F66C18">
      <w:pPr>
        <w:pStyle w:val="NoSpacing"/>
        <w:ind w:right="-720"/>
        <w:jc w:val="both"/>
        <w:rPr>
          <w:rFonts w:ascii="Calibri" w:hAnsi="Calibri" w:cs="Calibri"/>
          <w:sz w:val="24"/>
          <w:szCs w:val="24"/>
        </w:rPr>
      </w:pPr>
    </w:p>
    <w:p w14:paraId="3E874915" w14:textId="1B63B139" w:rsidR="00F66C18" w:rsidRPr="00CE0B01" w:rsidRDefault="00CE0B01" w:rsidP="00F66C18">
      <w:pPr>
        <w:pStyle w:val="NoSpacing"/>
        <w:ind w:right="-720"/>
        <w:jc w:val="both"/>
        <w:rPr>
          <w:rFonts w:ascii="Calibri" w:hAnsi="Calibri" w:cs="Calibri"/>
          <w:sz w:val="24"/>
          <w:szCs w:val="24"/>
        </w:rPr>
      </w:pPr>
      <w:r w:rsidRPr="00CE0B01">
        <w:rPr>
          <w:rFonts w:ascii="Calibri" w:hAnsi="Calibri" w:cs="Calibri"/>
          <w:sz w:val="24"/>
          <w:szCs w:val="24"/>
        </w:rPr>
        <w:t xml:space="preserve">This report contains </w:t>
      </w:r>
      <w:r w:rsidR="00FD53BD">
        <w:rPr>
          <w:rFonts w:ascii="Calibri" w:hAnsi="Calibri" w:cs="Calibri"/>
          <w:sz w:val="24"/>
          <w:szCs w:val="24"/>
        </w:rPr>
        <w:t>statistical information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CE0B01">
        <w:rPr>
          <w:rFonts w:ascii="Calibri" w:hAnsi="Calibri" w:cs="Calibri"/>
          <w:sz w:val="24"/>
          <w:szCs w:val="24"/>
        </w:rPr>
        <w:t>July 1, 2020, through June 30, 2021</w:t>
      </w:r>
      <w:r w:rsidR="00A807D1">
        <w:rPr>
          <w:rFonts w:ascii="Calibri" w:hAnsi="Calibri" w:cs="Calibri"/>
          <w:sz w:val="24"/>
          <w:szCs w:val="24"/>
        </w:rPr>
        <w:t xml:space="preserve">.  Parts of this report contain </w:t>
      </w:r>
      <w:r w:rsidR="006020F3">
        <w:rPr>
          <w:rFonts w:ascii="Calibri" w:hAnsi="Calibri" w:cs="Calibri"/>
          <w:sz w:val="24"/>
          <w:szCs w:val="24"/>
        </w:rPr>
        <w:t>data</w:t>
      </w:r>
      <w:r w:rsidR="00A807D1">
        <w:rPr>
          <w:rFonts w:ascii="Calibri" w:hAnsi="Calibri" w:cs="Calibri"/>
          <w:sz w:val="24"/>
          <w:szCs w:val="24"/>
        </w:rPr>
        <w:t xml:space="preserve"> during the heart of the pandemic, with the last quarter</w:t>
      </w:r>
      <w:r w:rsidR="006020F3">
        <w:rPr>
          <w:rFonts w:ascii="Calibri" w:hAnsi="Calibri" w:cs="Calibri"/>
          <w:sz w:val="24"/>
          <w:szCs w:val="24"/>
        </w:rPr>
        <w:t xml:space="preserve"> </w:t>
      </w:r>
      <w:r w:rsidR="00FD53BD">
        <w:rPr>
          <w:rFonts w:ascii="Calibri" w:hAnsi="Calibri" w:cs="Calibri"/>
          <w:sz w:val="24"/>
          <w:szCs w:val="24"/>
        </w:rPr>
        <w:t xml:space="preserve">numbers during </w:t>
      </w:r>
      <w:r w:rsidR="00A807D1">
        <w:rPr>
          <w:rFonts w:ascii="Calibri" w:hAnsi="Calibri" w:cs="Calibri"/>
          <w:sz w:val="24"/>
          <w:szCs w:val="24"/>
        </w:rPr>
        <w:t xml:space="preserve"> the loosening of restrictions.  Overall, </w:t>
      </w:r>
      <w:r w:rsidR="00275C81">
        <w:rPr>
          <w:rFonts w:ascii="Calibri" w:hAnsi="Calibri" w:cs="Calibri"/>
          <w:sz w:val="24"/>
          <w:szCs w:val="24"/>
        </w:rPr>
        <w:t xml:space="preserve">despite a minor dip in new claims, </w:t>
      </w:r>
      <w:r w:rsidR="00A807D1">
        <w:rPr>
          <w:rFonts w:ascii="Calibri" w:hAnsi="Calibri" w:cs="Calibri"/>
          <w:sz w:val="24"/>
          <w:szCs w:val="24"/>
        </w:rPr>
        <w:t xml:space="preserve">the numbers ebb and flow as per usual.   Here in Idaho, we have been fortunate </w:t>
      </w:r>
      <w:r w:rsidR="006020F3">
        <w:rPr>
          <w:rFonts w:ascii="Calibri" w:hAnsi="Calibri" w:cs="Calibri"/>
          <w:sz w:val="24"/>
          <w:szCs w:val="24"/>
        </w:rPr>
        <w:t xml:space="preserve">to have </w:t>
      </w:r>
      <w:r w:rsidR="00275C81">
        <w:rPr>
          <w:rFonts w:ascii="Calibri" w:hAnsi="Calibri" w:cs="Calibri"/>
          <w:sz w:val="24"/>
          <w:szCs w:val="24"/>
        </w:rPr>
        <w:t xml:space="preserve">maintained a </w:t>
      </w:r>
      <w:r w:rsidR="00A807D1">
        <w:rPr>
          <w:rFonts w:ascii="Calibri" w:hAnsi="Calibri" w:cs="Calibri"/>
          <w:sz w:val="24"/>
          <w:szCs w:val="24"/>
        </w:rPr>
        <w:t xml:space="preserve">relatively low unemployment rate.  I believe it will still take some time to </w:t>
      </w:r>
      <w:r w:rsidR="00D22A5B">
        <w:rPr>
          <w:rFonts w:ascii="Calibri" w:hAnsi="Calibri" w:cs="Calibri"/>
          <w:sz w:val="24"/>
          <w:szCs w:val="24"/>
        </w:rPr>
        <w:t>fully realize</w:t>
      </w:r>
      <w:r w:rsidR="006020F3">
        <w:rPr>
          <w:rFonts w:ascii="Calibri" w:hAnsi="Calibri" w:cs="Calibri"/>
          <w:sz w:val="24"/>
          <w:szCs w:val="24"/>
        </w:rPr>
        <w:t xml:space="preserve"> any potential</w:t>
      </w:r>
      <w:r w:rsidR="00A807D1">
        <w:rPr>
          <w:rFonts w:ascii="Calibri" w:hAnsi="Calibri" w:cs="Calibri"/>
          <w:sz w:val="24"/>
          <w:szCs w:val="24"/>
        </w:rPr>
        <w:t xml:space="preserve"> long-term ramifications to the workers’ compensation system</w:t>
      </w:r>
      <w:r w:rsidR="00275C81">
        <w:rPr>
          <w:rFonts w:ascii="Calibri" w:hAnsi="Calibri" w:cs="Calibri"/>
          <w:sz w:val="24"/>
          <w:szCs w:val="24"/>
        </w:rPr>
        <w:t xml:space="preserve"> as a whole</w:t>
      </w:r>
      <w:r w:rsidR="00A807D1">
        <w:rPr>
          <w:rFonts w:ascii="Calibri" w:hAnsi="Calibri" w:cs="Calibri"/>
          <w:sz w:val="24"/>
          <w:szCs w:val="24"/>
        </w:rPr>
        <w:t xml:space="preserve">, and the ISIF in particular.  </w:t>
      </w:r>
    </w:p>
    <w:p w14:paraId="50741755" w14:textId="1BD3A74B" w:rsidR="00FB223C" w:rsidRDefault="00FB223C" w:rsidP="0084748E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21C5ADC8" w14:textId="77777777" w:rsidR="00FB223C" w:rsidRDefault="00FB223C" w:rsidP="0084748E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7BB349E6" w14:textId="77777777" w:rsidR="0084748E" w:rsidRDefault="0084748E" w:rsidP="0084748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D3D9" w:themeFill="accent2" w:themeFillTint="99"/>
        <w:tblLook w:val="04A0" w:firstRow="1" w:lastRow="0" w:firstColumn="1" w:lastColumn="0" w:noHBand="0" w:noVBand="1"/>
      </w:tblPr>
      <w:tblGrid>
        <w:gridCol w:w="9450"/>
      </w:tblGrid>
      <w:tr w:rsidR="0084748E" w:rsidRPr="00191819" w14:paraId="78CCAA74" w14:textId="77777777" w:rsidTr="0027469C">
        <w:trPr>
          <w:trHeight w:val="315"/>
        </w:trPr>
        <w:tc>
          <w:tcPr>
            <w:tcW w:w="9450" w:type="dxa"/>
            <w:shd w:val="clear" w:color="auto" w:fill="002060"/>
          </w:tcPr>
          <w:p w14:paraId="2826EFDD" w14:textId="37927263" w:rsidR="0084748E" w:rsidRPr="00C80520" w:rsidRDefault="0084748E" w:rsidP="003E083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OPERATIONS</w:t>
            </w:r>
          </w:p>
        </w:tc>
      </w:tr>
    </w:tbl>
    <w:p w14:paraId="4CDE46A4" w14:textId="77777777" w:rsidR="005A370E" w:rsidRPr="005A370E" w:rsidRDefault="005A370E" w:rsidP="005A370E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735314" w14:textId="77777777" w:rsidR="00D22A5B" w:rsidRDefault="00D22A5B" w:rsidP="00025BC0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9644D97" w14:textId="7832AF13" w:rsidR="00025BC0" w:rsidRPr="00DE78E2" w:rsidRDefault="00E95D4E" w:rsidP="00025BC0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E78E2">
        <w:rPr>
          <w:rFonts w:cstheme="minorHAnsi"/>
          <w:b/>
          <w:sz w:val="28"/>
          <w:szCs w:val="28"/>
          <w:u w:val="single"/>
        </w:rPr>
        <w:t>Claim</w:t>
      </w:r>
      <w:r w:rsidR="00565181" w:rsidRPr="00DE78E2">
        <w:rPr>
          <w:rFonts w:cstheme="minorHAnsi"/>
          <w:b/>
          <w:sz w:val="28"/>
          <w:szCs w:val="28"/>
          <w:u w:val="single"/>
        </w:rPr>
        <w:t>s</w:t>
      </w:r>
      <w:r w:rsidR="00DE78E2" w:rsidRPr="00DE78E2">
        <w:rPr>
          <w:rFonts w:cstheme="minorHAnsi"/>
          <w:b/>
          <w:sz w:val="28"/>
          <w:szCs w:val="28"/>
          <w:u w:val="single"/>
        </w:rPr>
        <w:t xml:space="preserve"> </w:t>
      </w:r>
      <w:r w:rsidR="00650026">
        <w:rPr>
          <w:rFonts w:cstheme="minorHAnsi"/>
          <w:b/>
          <w:sz w:val="28"/>
          <w:szCs w:val="28"/>
          <w:u w:val="single"/>
        </w:rPr>
        <w:t xml:space="preserve">&amp; Benefits </w:t>
      </w:r>
      <w:r w:rsidR="00DE78E2" w:rsidRPr="00DE78E2">
        <w:rPr>
          <w:rFonts w:cstheme="minorHAnsi"/>
          <w:b/>
          <w:sz w:val="28"/>
          <w:szCs w:val="28"/>
          <w:u w:val="single"/>
        </w:rPr>
        <w:t>Administration</w:t>
      </w:r>
    </w:p>
    <w:p w14:paraId="58016EE6" w14:textId="77777777" w:rsidR="00025BC0" w:rsidRPr="003B6BD2" w:rsidRDefault="00025BC0" w:rsidP="00025BC0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5FC3BE2" w14:textId="461AC5B8" w:rsidR="007305C0" w:rsidRDefault="003B6BD2" w:rsidP="007305C0">
      <w:pPr>
        <w:pStyle w:val="NoSpacing"/>
        <w:ind w:right="-720"/>
        <w:jc w:val="both"/>
        <w:rPr>
          <w:rFonts w:cstheme="minorHAnsi"/>
          <w:sz w:val="24"/>
          <w:szCs w:val="24"/>
        </w:rPr>
      </w:pPr>
      <w:r w:rsidRPr="003B6BD2">
        <w:rPr>
          <w:rFonts w:cstheme="minorHAnsi"/>
          <w:sz w:val="24"/>
          <w:szCs w:val="24"/>
        </w:rPr>
        <w:t xml:space="preserve">Claims for benefits </w:t>
      </w:r>
      <w:r w:rsidR="00A03206">
        <w:rPr>
          <w:rFonts w:cstheme="minorHAnsi"/>
          <w:sz w:val="24"/>
          <w:szCs w:val="24"/>
        </w:rPr>
        <w:t xml:space="preserve">from the ISIF </w:t>
      </w:r>
      <w:r w:rsidRPr="003B6BD2">
        <w:rPr>
          <w:rFonts w:cstheme="minorHAnsi"/>
          <w:sz w:val="24"/>
          <w:szCs w:val="24"/>
        </w:rPr>
        <w:t xml:space="preserve">are started by a party filing a </w:t>
      </w:r>
      <w:r w:rsidRPr="00253F9D">
        <w:rPr>
          <w:rFonts w:cstheme="minorHAnsi"/>
          <w:sz w:val="24"/>
          <w:szCs w:val="24"/>
        </w:rPr>
        <w:t xml:space="preserve">Notice of Intent </w:t>
      </w:r>
      <w:r w:rsidR="00D22A5B">
        <w:rPr>
          <w:rFonts w:cstheme="minorHAnsi"/>
          <w:sz w:val="24"/>
          <w:szCs w:val="24"/>
        </w:rPr>
        <w:t xml:space="preserve">to File a Complaint Against the ISIF </w:t>
      </w:r>
      <w:r w:rsidRPr="003B6BD2">
        <w:rPr>
          <w:rFonts w:cstheme="minorHAnsi"/>
          <w:sz w:val="24"/>
          <w:szCs w:val="24"/>
        </w:rPr>
        <w:t xml:space="preserve">(NOI).  </w:t>
      </w:r>
      <w:r w:rsidR="00881B7A">
        <w:rPr>
          <w:rFonts w:cstheme="minorHAnsi"/>
          <w:sz w:val="24"/>
          <w:szCs w:val="24"/>
        </w:rPr>
        <w:t>Pursuant to Idaho Code § 72-334 (known as the 60-day rule), t</w:t>
      </w:r>
      <w:r w:rsidRPr="003B6BD2">
        <w:rPr>
          <w:rFonts w:cstheme="minorHAnsi"/>
          <w:sz w:val="24"/>
          <w:szCs w:val="24"/>
        </w:rPr>
        <w:t xml:space="preserve">he ISIF undertakes an initial in-house review and either agrees to resolve or denies the claim.  If the claim is denied, the filing party can then file a </w:t>
      </w:r>
      <w:r w:rsidRPr="00253F9D">
        <w:rPr>
          <w:rFonts w:cstheme="minorHAnsi"/>
          <w:sz w:val="24"/>
          <w:szCs w:val="24"/>
        </w:rPr>
        <w:t xml:space="preserve">Complaint </w:t>
      </w:r>
      <w:r w:rsidR="00A03206">
        <w:rPr>
          <w:rFonts w:cstheme="minorHAnsi"/>
          <w:sz w:val="24"/>
          <w:szCs w:val="24"/>
        </w:rPr>
        <w:t>a</w:t>
      </w:r>
      <w:r w:rsidRPr="00253F9D">
        <w:rPr>
          <w:rFonts w:cstheme="minorHAnsi"/>
          <w:sz w:val="24"/>
          <w:szCs w:val="24"/>
        </w:rPr>
        <w:t>gainst the ISIF.</w:t>
      </w:r>
      <w:r w:rsidRPr="003B6BD2">
        <w:rPr>
          <w:rFonts w:cstheme="minorHAnsi"/>
          <w:sz w:val="24"/>
          <w:szCs w:val="24"/>
        </w:rPr>
        <w:t xml:space="preserve">  Upon receipt of a Complaint, the ISIF will retain outside legal counsel and commence with formal litigation.  </w:t>
      </w:r>
    </w:p>
    <w:p w14:paraId="62172FBA" w14:textId="77777777" w:rsidR="006152B1" w:rsidRDefault="006152B1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09A56DC3" w14:textId="77777777" w:rsidR="00F6534F" w:rsidRDefault="00F6534F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3B9654A1" w14:textId="37A89AB6" w:rsidR="008E2208" w:rsidRDefault="00867B18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  <w:r w:rsidRPr="003B6BD2">
        <w:rPr>
          <w:rFonts w:cstheme="minorHAnsi"/>
          <w:sz w:val="24"/>
          <w:szCs w:val="24"/>
        </w:rPr>
        <w:lastRenderedPageBreak/>
        <w:t xml:space="preserve">The number of NOIs </w:t>
      </w:r>
      <w:r w:rsidR="00442E42" w:rsidRPr="003B6BD2">
        <w:rPr>
          <w:rFonts w:cstheme="minorHAnsi"/>
          <w:sz w:val="24"/>
          <w:szCs w:val="24"/>
        </w:rPr>
        <w:t xml:space="preserve">and Complaints </w:t>
      </w:r>
      <w:r w:rsidRPr="003B6BD2">
        <w:rPr>
          <w:rFonts w:cstheme="minorHAnsi"/>
          <w:sz w:val="24"/>
          <w:szCs w:val="24"/>
        </w:rPr>
        <w:t>has remained generally consistent over the last f</w:t>
      </w:r>
      <w:r w:rsidR="00AA543E" w:rsidRPr="003B6BD2">
        <w:rPr>
          <w:rFonts w:cstheme="minorHAnsi"/>
          <w:sz w:val="24"/>
          <w:szCs w:val="24"/>
        </w:rPr>
        <w:t xml:space="preserve">ive </w:t>
      </w:r>
      <w:r w:rsidR="00A96549">
        <w:rPr>
          <w:rFonts w:cstheme="minorHAnsi"/>
          <w:sz w:val="24"/>
          <w:szCs w:val="24"/>
        </w:rPr>
        <w:t xml:space="preserve">fiscal </w:t>
      </w:r>
      <w:r w:rsidRPr="003B6BD2">
        <w:rPr>
          <w:rFonts w:cstheme="minorHAnsi"/>
          <w:sz w:val="24"/>
          <w:szCs w:val="24"/>
        </w:rPr>
        <w:t xml:space="preserve">years as </w:t>
      </w:r>
      <w:r w:rsidR="00A96549">
        <w:rPr>
          <w:rFonts w:cstheme="minorHAnsi"/>
          <w:sz w:val="24"/>
          <w:szCs w:val="24"/>
        </w:rPr>
        <w:t>indicated below.</w:t>
      </w:r>
    </w:p>
    <w:p w14:paraId="5A4415C7" w14:textId="01044F16" w:rsidR="00FB223C" w:rsidRDefault="00FB223C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1D5A9FAA" w14:textId="77777777" w:rsidR="00FB223C" w:rsidRDefault="00FB223C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5E9E0249" w14:textId="7AC57D9D" w:rsidR="006E6DF3" w:rsidRDefault="006E6DF3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0570EA9F" w14:textId="18EF0F8E" w:rsidR="00382390" w:rsidRDefault="00C90EBD" w:rsidP="00363607">
      <w:pPr>
        <w:pStyle w:val="NoSpacing"/>
        <w:ind w:right="-72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6347854" wp14:editId="08D782DF">
            <wp:extent cx="6019800" cy="28575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8604D31-C0B3-4C7A-8962-D8BB71E67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7F6C2D" w14:textId="77777777" w:rsidR="00C90EBD" w:rsidRDefault="00C90EBD" w:rsidP="001B57EC">
      <w:pPr>
        <w:pStyle w:val="NoSpacing"/>
        <w:ind w:right="-720"/>
        <w:jc w:val="both"/>
        <w:rPr>
          <w:rFonts w:cstheme="minorHAnsi"/>
          <w:b/>
          <w:bCs/>
          <w:sz w:val="24"/>
          <w:szCs w:val="24"/>
        </w:rPr>
      </w:pPr>
    </w:p>
    <w:p w14:paraId="6D5C0F77" w14:textId="77777777" w:rsidR="00C90EBD" w:rsidRDefault="00C90EBD" w:rsidP="001B57EC">
      <w:pPr>
        <w:pStyle w:val="NoSpacing"/>
        <w:ind w:right="-720"/>
        <w:jc w:val="both"/>
        <w:rPr>
          <w:rFonts w:cstheme="minorHAnsi"/>
          <w:b/>
          <w:bCs/>
          <w:sz w:val="24"/>
          <w:szCs w:val="24"/>
        </w:rPr>
      </w:pPr>
    </w:p>
    <w:p w14:paraId="248CD27A" w14:textId="77777777" w:rsidR="00DE54D8" w:rsidRDefault="00DE54D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0C74F649" w14:textId="022D6C87" w:rsidR="000E33A8" w:rsidRDefault="000762E3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claim progresses there are various potential outcomes, with the three main categories being dismissals, hearing</w:t>
      </w:r>
      <w:r w:rsidR="001B5563">
        <w:rPr>
          <w:rFonts w:cstheme="minorHAnsi"/>
          <w:sz w:val="24"/>
          <w:szCs w:val="24"/>
        </w:rPr>
        <w:t xml:space="preserve"> decisions</w:t>
      </w:r>
      <w:r>
        <w:rPr>
          <w:rFonts w:cstheme="minorHAnsi"/>
          <w:sz w:val="24"/>
          <w:szCs w:val="24"/>
        </w:rPr>
        <w:t xml:space="preserve">, and </w:t>
      </w:r>
      <w:r w:rsidR="009B1EE3">
        <w:rPr>
          <w:rFonts w:cstheme="minorHAnsi"/>
          <w:sz w:val="24"/>
          <w:szCs w:val="24"/>
        </w:rPr>
        <w:t xml:space="preserve">negotiated </w:t>
      </w:r>
      <w:r>
        <w:rPr>
          <w:rFonts w:cstheme="minorHAnsi"/>
          <w:sz w:val="24"/>
          <w:szCs w:val="24"/>
        </w:rPr>
        <w:t>settlements</w:t>
      </w:r>
      <w:r w:rsidR="00EB1612">
        <w:rPr>
          <w:rFonts w:cstheme="minorHAnsi"/>
          <w:sz w:val="24"/>
          <w:szCs w:val="24"/>
        </w:rPr>
        <w:t xml:space="preserve">.  </w:t>
      </w:r>
      <w:r w:rsidR="00260F9D">
        <w:rPr>
          <w:rFonts w:cstheme="minorHAnsi"/>
          <w:sz w:val="24"/>
          <w:szCs w:val="24"/>
        </w:rPr>
        <w:t>G</w:t>
      </w:r>
      <w:r w:rsidR="000E4318">
        <w:rPr>
          <w:rFonts w:cstheme="minorHAnsi"/>
          <w:sz w:val="24"/>
          <w:szCs w:val="24"/>
        </w:rPr>
        <w:t xml:space="preserve">uidance regarding the </w:t>
      </w:r>
      <w:r w:rsidR="00BD52C5">
        <w:rPr>
          <w:rFonts w:cstheme="minorHAnsi"/>
          <w:sz w:val="24"/>
          <w:szCs w:val="24"/>
        </w:rPr>
        <w:t>resolution of ISIF claims</w:t>
      </w:r>
      <w:r w:rsidR="00260F9D">
        <w:rPr>
          <w:rFonts w:cstheme="minorHAnsi"/>
          <w:sz w:val="24"/>
          <w:szCs w:val="24"/>
        </w:rPr>
        <w:t xml:space="preserve"> comes from a</w:t>
      </w:r>
      <w:r w:rsidR="00DE6E09">
        <w:rPr>
          <w:rFonts w:cstheme="minorHAnsi"/>
          <w:sz w:val="24"/>
          <w:szCs w:val="24"/>
        </w:rPr>
        <w:t xml:space="preserve"> </w:t>
      </w:r>
      <w:r w:rsidR="00260F9D">
        <w:rPr>
          <w:rFonts w:cstheme="minorHAnsi"/>
          <w:sz w:val="24"/>
          <w:szCs w:val="24"/>
        </w:rPr>
        <w:t>Supreme Court decision</w:t>
      </w:r>
      <w:r w:rsidR="001608D5">
        <w:rPr>
          <w:rFonts w:cstheme="minorHAnsi"/>
          <w:sz w:val="24"/>
          <w:szCs w:val="24"/>
        </w:rPr>
        <w:t>,</w:t>
      </w:r>
      <w:r w:rsidR="00260F9D">
        <w:rPr>
          <w:rFonts w:cstheme="minorHAnsi"/>
          <w:sz w:val="24"/>
          <w:szCs w:val="24"/>
        </w:rPr>
        <w:t xml:space="preserve"> </w:t>
      </w:r>
      <w:bookmarkStart w:id="0" w:name="_Hlk78279625"/>
      <w:r w:rsidR="00260F9D" w:rsidRPr="00260F9D">
        <w:rPr>
          <w:i/>
          <w:iCs/>
          <w:sz w:val="24"/>
          <w:szCs w:val="24"/>
        </w:rPr>
        <w:t xml:space="preserve">Wernecke v. St Maries Joint School Dist. No. 401, </w:t>
      </w:r>
      <w:r w:rsidR="00260F9D" w:rsidRPr="00964333">
        <w:rPr>
          <w:sz w:val="24"/>
          <w:szCs w:val="24"/>
        </w:rPr>
        <w:t>147 Idaho 277, 207 P.3d 1008 (2009)</w:t>
      </w:r>
      <w:r w:rsidR="000E4318" w:rsidRPr="00964333">
        <w:rPr>
          <w:rFonts w:cstheme="minorHAnsi"/>
          <w:sz w:val="24"/>
          <w:szCs w:val="24"/>
        </w:rPr>
        <w:t>.</w:t>
      </w:r>
      <w:r w:rsidR="000E4318" w:rsidRPr="00260F9D">
        <w:rPr>
          <w:rFonts w:cstheme="minorHAnsi"/>
          <w:sz w:val="24"/>
          <w:szCs w:val="24"/>
        </w:rPr>
        <w:t xml:space="preserve">  </w:t>
      </w:r>
      <w:bookmarkEnd w:id="0"/>
      <w:r w:rsidR="00E5054F">
        <w:rPr>
          <w:rFonts w:cstheme="minorHAnsi"/>
          <w:sz w:val="24"/>
          <w:szCs w:val="24"/>
        </w:rPr>
        <w:t>T</w:t>
      </w:r>
      <w:r w:rsidR="00DE6E09">
        <w:rPr>
          <w:rFonts w:cstheme="minorHAnsi"/>
          <w:sz w:val="24"/>
          <w:szCs w:val="24"/>
        </w:rPr>
        <w:t xml:space="preserve">hat decision was </w:t>
      </w:r>
      <w:r w:rsidR="00E5054F">
        <w:rPr>
          <w:rFonts w:cstheme="minorHAnsi"/>
          <w:sz w:val="24"/>
          <w:szCs w:val="24"/>
        </w:rPr>
        <w:t xml:space="preserve">issued </w:t>
      </w:r>
      <w:r w:rsidR="00DE6E09">
        <w:rPr>
          <w:rFonts w:cstheme="minorHAnsi"/>
          <w:sz w:val="24"/>
          <w:szCs w:val="24"/>
        </w:rPr>
        <w:t xml:space="preserve">in 2009, </w:t>
      </w:r>
      <w:r w:rsidR="00E5054F">
        <w:rPr>
          <w:rFonts w:cstheme="minorHAnsi"/>
          <w:sz w:val="24"/>
          <w:szCs w:val="24"/>
        </w:rPr>
        <w:t xml:space="preserve">but </w:t>
      </w:r>
      <w:r w:rsidR="00DE6E09">
        <w:rPr>
          <w:rFonts w:cstheme="minorHAnsi"/>
          <w:sz w:val="24"/>
          <w:szCs w:val="24"/>
        </w:rPr>
        <w:t>i</w:t>
      </w:r>
      <w:r w:rsidR="000C618D">
        <w:rPr>
          <w:rFonts w:cstheme="minorHAnsi"/>
          <w:sz w:val="24"/>
          <w:szCs w:val="24"/>
        </w:rPr>
        <w:t>t has been within</w:t>
      </w:r>
      <w:r w:rsidR="00260F9D">
        <w:rPr>
          <w:rFonts w:cstheme="minorHAnsi"/>
          <w:sz w:val="24"/>
          <w:szCs w:val="24"/>
        </w:rPr>
        <w:t xml:space="preserve"> the</w:t>
      </w:r>
      <w:r w:rsidR="00BD52C5">
        <w:rPr>
          <w:rFonts w:cstheme="minorHAnsi"/>
          <w:sz w:val="24"/>
          <w:szCs w:val="24"/>
        </w:rPr>
        <w:t xml:space="preserve"> last</w:t>
      </w:r>
      <w:r w:rsidR="00152453">
        <w:rPr>
          <w:rFonts w:cstheme="minorHAnsi"/>
          <w:sz w:val="24"/>
          <w:szCs w:val="24"/>
        </w:rPr>
        <w:t xml:space="preserve"> </w:t>
      </w:r>
      <w:r w:rsidR="00FD53BD">
        <w:rPr>
          <w:rFonts w:cstheme="minorHAnsi"/>
          <w:sz w:val="24"/>
          <w:szCs w:val="24"/>
        </w:rPr>
        <w:t>twelve months</w:t>
      </w:r>
      <w:r w:rsidR="000C618D">
        <w:rPr>
          <w:rFonts w:cstheme="minorHAnsi"/>
          <w:sz w:val="24"/>
          <w:szCs w:val="24"/>
        </w:rPr>
        <w:t xml:space="preserve"> that</w:t>
      </w:r>
      <w:r w:rsidR="00152453">
        <w:rPr>
          <w:rFonts w:cstheme="minorHAnsi"/>
          <w:sz w:val="24"/>
          <w:szCs w:val="24"/>
        </w:rPr>
        <w:t xml:space="preserve"> the ISIF has seen changes in the approval process regarding lump sum settlements and stipulated agreements involving modified benefits. </w:t>
      </w:r>
      <w:r w:rsidR="00BD52C5">
        <w:rPr>
          <w:rFonts w:cstheme="minorHAnsi"/>
          <w:sz w:val="24"/>
          <w:szCs w:val="24"/>
        </w:rPr>
        <w:t xml:space="preserve"> </w:t>
      </w:r>
    </w:p>
    <w:p w14:paraId="0F7BF61B" w14:textId="219D212F" w:rsidR="000E33A8" w:rsidRDefault="000E33A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384B7E0A" w14:textId="77777777" w:rsidR="00FB223C" w:rsidRDefault="00FB223C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03B36E95" w14:textId="3251566E" w:rsidR="00C8286F" w:rsidRDefault="00C8286F" w:rsidP="00C8286F">
      <w:pPr>
        <w:pStyle w:val="NoSpacing"/>
        <w:ind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ISIF remains diligent in pursuing all options in order to provide benefits to injured workers with </w:t>
      </w:r>
      <w:r w:rsidR="001608D5">
        <w:rPr>
          <w:rFonts w:cstheme="minorHAnsi"/>
          <w:sz w:val="24"/>
          <w:szCs w:val="24"/>
        </w:rPr>
        <w:t>qualifying</w:t>
      </w:r>
      <w:r>
        <w:rPr>
          <w:rFonts w:cstheme="minorHAnsi"/>
          <w:sz w:val="24"/>
          <w:szCs w:val="24"/>
        </w:rPr>
        <w:t xml:space="preserve"> claims, while also maintaining fiscal accountability </w:t>
      </w:r>
      <w:r w:rsidRPr="00416E30">
        <w:rPr>
          <w:rFonts w:cstheme="minorHAnsi"/>
          <w:sz w:val="24"/>
          <w:szCs w:val="24"/>
        </w:rPr>
        <w:t xml:space="preserve">to the sureties and employers who ultimately fund the ISIF. </w:t>
      </w:r>
      <w:r>
        <w:rPr>
          <w:rFonts w:cstheme="minorHAnsi"/>
          <w:sz w:val="24"/>
          <w:szCs w:val="24"/>
        </w:rPr>
        <w:t xml:space="preserve"> </w:t>
      </w:r>
    </w:p>
    <w:p w14:paraId="165DB213" w14:textId="77777777" w:rsidR="00C8286F" w:rsidRDefault="00C8286F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7CB9EC84" w14:textId="77777777" w:rsidR="00C8286F" w:rsidRDefault="00C8286F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240EC478" w14:textId="1104D22F" w:rsidR="000E33A8" w:rsidRPr="000E33A8" w:rsidRDefault="000E33A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Another issue of concern for the ISIF is the recent Supreme Court decision, </w:t>
      </w:r>
      <w:bookmarkStart w:id="1" w:name="_Hlk78279643"/>
      <w:r w:rsidRPr="000E33A8">
        <w:rPr>
          <w:i/>
          <w:iCs/>
          <w:sz w:val="24"/>
          <w:szCs w:val="24"/>
        </w:rPr>
        <w:t xml:space="preserve">Stanley v. ISIF, </w:t>
      </w:r>
      <w:r w:rsidRPr="00964333">
        <w:rPr>
          <w:sz w:val="24"/>
          <w:szCs w:val="24"/>
        </w:rPr>
        <w:t>481 P.3d 731</w:t>
      </w:r>
      <w:r w:rsidR="00DE6E09">
        <w:rPr>
          <w:sz w:val="24"/>
          <w:szCs w:val="24"/>
        </w:rPr>
        <w:t xml:space="preserve"> </w:t>
      </w:r>
      <w:r w:rsidRPr="00964333">
        <w:rPr>
          <w:sz w:val="24"/>
          <w:szCs w:val="24"/>
        </w:rPr>
        <w:t>(2021</w:t>
      </w:r>
      <w:r w:rsidRPr="000E33A8">
        <w:rPr>
          <w:i/>
          <w:iCs/>
          <w:sz w:val="24"/>
          <w:szCs w:val="24"/>
        </w:rPr>
        <w:t>).</w:t>
      </w:r>
      <w:r>
        <w:rPr>
          <w:sz w:val="24"/>
          <w:szCs w:val="24"/>
        </w:rPr>
        <w:t xml:space="preserve">   </w:t>
      </w:r>
      <w:bookmarkEnd w:id="1"/>
      <w:r w:rsidR="00C8286F">
        <w:rPr>
          <w:sz w:val="24"/>
          <w:szCs w:val="24"/>
        </w:rPr>
        <w:t>D</w:t>
      </w:r>
      <w:r w:rsidR="00FB223C">
        <w:rPr>
          <w:sz w:val="24"/>
          <w:szCs w:val="24"/>
        </w:rPr>
        <w:t>efending stale claims has been a longstanding hardship for  the ISIF.  This decision, while acknowledging th</w:t>
      </w:r>
      <w:r w:rsidR="00C8286F">
        <w:rPr>
          <w:sz w:val="24"/>
          <w:szCs w:val="24"/>
        </w:rPr>
        <w:t>e</w:t>
      </w:r>
      <w:r w:rsidR="00FB223C">
        <w:rPr>
          <w:sz w:val="24"/>
          <w:szCs w:val="24"/>
        </w:rPr>
        <w:t xml:space="preserve"> hardship as well as the potential financial ramifications, leaves the door open for more such claims.</w:t>
      </w:r>
    </w:p>
    <w:p w14:paraId="22BBAACD" w14:textId="77777777" w:rsidR="000E33A8" w:rsidRDefault="000E33A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13859705" w14:textId="77777777" w:rsidR="000E33A8" w:rsidRDefault="000E33A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55E36EE3" w14:textId="77777777" w:rsidR="00DE54D8" w:rsidRDefault="00DE54D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720306DF" w14:textId="1121E8D6" w:rsidR="00EB1612" w:rsidRDefault="00EB1612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two charts below show the</w:t>
      </w:r>
      <w:r w:rsidR="00E040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outcomes of ISIF claims over the last five </w:t>
      </w:r>
      <w:r w:rsidR="00E040FE">
        <w:rPr>
          <w:rFonts w:cstheme="minorHAnsi"/>
          <w:sz w:val="24"/>
          <w:szCs w:val="24"/>
        </w:rPr>
        <w:t xml:space="preserve">fiscal </w:t>
      </w:r>
      <w:r>
        <w:rPr>
          <w:rFonts w:cstheme="minorHAnsi"/>
          <w:sz w:val="24"/>
          <w:szCs w:val="24"/>
        </w:rPr>
        <w:t>years.</w:t>
      </w:r>
    </w:p>
    <w:p w14:paraId="5CEE2292" w14:textId="77777777" w:rsidR="00DE54D8" w:rsidRDefault="00DE54D8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116DA2D9" w14:textId="360D0C8A" w:rsidR="00EB1612" w:rsidRDefault="00EB1612" w:rsidP="00152453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30427854" w14:textId="77777777" w:rsidR="00EB1612" w:rsidRPr="00EB1612" w:rsidRDefault="00EB1612" w:rsidP="001B57EC">
      <w:pPr>
        <w:pStyle w:val="NoSpacing"/>
        <w:ind w:right="-720"/>
        <w:jc w:val="both"/>
        <w:rPr>
          <w:rFonts w:cstheme="minorHAnsi"/>
          <w:sz w:val="24"/>
          <w:szCs w:val="24"/>
        </w:rPr>
      </w:pPr>
    </w:p>
    <w:p w14:paraId="2848980A" w14:textId="56D92E8F" w:rsidR="0000598A" w:rsidRDefault="00E452EB" w:rsidP="00A15EE1">
      <w:pPr>
        <w:pStyle w:val="NoSpacing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4DC0D85" wp14:editId="6958EA30">
            <wp:extent cx="6181725" cy="2546985"/>
            <wp:effectExtent l="0" t="0" r="9525" b="571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E76C2C6-4B34-474F-84CD-A4E23E919A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5EE0D1" w14:textId="36B12A29" w:rsidR="00565181" w:rsidRDefault="00565181" w:rsidP="00C80520">
      <w:pPr>
        <w:pStyle w:val="NoSpacing"/>
        <w:jc w:val="both"/>
        <w:rPr>
          <w:rFonts w:cstheme="minorHAnsi"/>
          <w:sz w:val="24"/>
          <w:szCs w:val="24"/>
        </w:rPr>
      </w:pPr>
    </w:p>
    <w:p w14:paraId="45AB28AE" w14:textId="5244877B" w:rsidR="00DE54D8" w:rsidRDefault="00DE54D8" w:rsidP="00C80520">
      <w:pPr>
        <w:pStyle w:val="NoSpacing"/>
        <w:jc w:val="both"/>
        <w:rPr>
          <w:rFonts w:cstheme="minorHAnsi"/>
          <w:sz w:val="24"/>
          <w:szCs w:val="24"/>
        </w:rPr>
      </w:pPr>
    </w:p>
    <w:p w14:paraId="2A0E6595" w14:textId="77777777" w:rsidR="00DE54D8" w:rsidRDefault="00DE54D8" w:rsidP="00C80520">
      <w:pPr>
        <w:pStyle w:val="NoSpacing"/>
        <w:jc w:val="both"/>
        <w:rPr>
          <w:rFonts w:cstheme="minorHAnsi"/>
          <w:sz w:val="24"/>
          <w:szCs w:val="24"/>
        </w:rPr>
      </w:pPr>
    </w:p>
    <w:p w14:paraId="1201CE60" w14:textId="6A56FD82" w:rsidR="00801EFE" w:rsidRDefault="00801EFE" w:rsidP="00C80520">
      <w:pPr>
        <w:pStyle w:val="NoSpacing"/>
        <w:jc w:val="both"/>
        <w:rPr>
          <w:rFonts w:cstheme="minorHAnsi"/>
          <w:sz w:val="24"/>
          <w:szCs w:val="24"/>
        </w:rPr>
      </w:pPr>
    </w:p>
    <w:p w14:paraId="31B65056" w14:textId="3A34BA80" w:rsidR="00B15C78" w:rsidRDefault="00801EFE" w:rsidP="00C80520">
      <w:pPr>
        <w:pStyle w:val="NoSpacing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D393DAE" wp14:editId="131D3178">
            <wp:extent cx="6181725" cy="3009900"/>
            <wp:effectExtent l="0" t="0" r="9525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E76C2C6-4B34-474F-84CD-A4E23E919A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8202CA6" w14:textId="1BDEF634" w:rsidR="00801EFE" w:rsidRDefault="00801EFE" w:rsidP="00801EFE">
      <w:pPr>
        <w:pStyle w:val="NoSpacing"/>
        <w:rPr>
          <w:rFonts w:cstheme="minorHAnsi"/>
          <w:sz w:val="24"/>
          <w:szCs w:val="24"/>
        </w:rPr>
      </w:pPr>
    </w:p>
    <w:p w14:paraId="3889292B" w14:textId="77777777" w:rsidR="00152453" w:rsidRDefault="00152453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3D918693" w14:textId="77777777" w:rsidR="00514768" w:rsidRDefault="00514768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374E564D" w14:textId="2E60405A" w:rsidR="00EB1612" w:rsidRDefault="00152453" w:rsidP="0015245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the seven (7) beneficiaries added to the monthly books </w:t>
      </w:r>
      <w:r w:rsidR="00E040FE">
        <w:rPr>
          <w:rFonts w:cstheme="minorHAnsi"/>
          <w:sz w:val="24"/>
          <w:szCs w:val="24"/>
        </w:rPr>
        <w:t>in Fiscal Year 2021,</w:t>
      </w:r>
      <w:r>
        <w:rPr>
          <w:rFonts w:cstheme="minorHAnsi"/>
          <w:sz w:val="24"/>
          <w:szCs w:val="24"/>
        </w:rPr>
        <w:t xml:space="preserve"> eight (8) beneficiaries </w:t>
      </w:r>
      <w:r w:rsidR="00EB1612">
        <w:rPr>
          <w:rFonts w:cstheme="minorHAnsi"/>
          <w:sz w:val="24"/>
          <w:szCs w:val="24"/>
        </w:rPr>
        <w:t xml:space="preserve">passed away </w:t>
      </w:r>
      <w:r>
        <w:rPr>
          <w:rFonts w:cstheme="minorHAnsi"/>
          <w:sz w:val="24"/>
          <w:szCs w:val="24"/>
        </w:rPr>
        <w:t xml:space="preserve">were taken off the books.  </w:t>
      </w:r>
    </w:p>
    <w:p w14:paraId="7AB15D26" w14:textId="77777777" w:rsidR="00EB1612" w:rsidRDefault="00EB1612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7417C633" w14:textId="67B2620E" w:rsidR="00D05BD4" w:rsidRDefault="00152453" w:rsidP="0015245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chart below shows the </w:t>
      </w:r>
      <w:r w:rsidR="0074266B">
        <w:rPr>
          <w:rFonts w:cstheme="minorHAnsi"/>
          <w:sz w:val="24"/>
          <w:szCs w:val="24"/>
        </w:rPr>
        <w:t xml:space="preserve">combined </w:t>
      </w:r>
      <w:r>
        <w:rPr>
          <w:rFonts w:cstheme="minorHAnsi"/>
          <w:sz w:val="24"/>
          <w:szCs w:val="24"/>
        </w:rPr>
        <w:t xml:space="preserve">total </w:t>
      </w:r>
      <w:r w:rsidR="00B63CAF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benefits paid</w:t>
      </w:r>
      <w:r w:rsidR="00B63CAF">
        <w:rPr>
          <w:rFonts w:cstheme="minorHAnsi"/>
          <w:sz w:val="24"/>
          <w:szCs w:val="24"/>
        </w:rPr>
        <w:t xml:space="preserve"> to injured workers</w:t>
      </w:r>
      <w:r w:rsidR="0074266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whether by lump sum or</w:t>
      </w:r>
      <w:r w:rsidR="00B63CAF">
        <w:rPr>
          <w:rFonts w:cstheme="minorHAnsi"/>
          <w:sz w:val="24"/>
          <w:szCs w:val="24"/>
        </w:rPr>
        <w:t xml:space="preserve"> by</w:t>
      </w:r>
      <w:r>
        <w:rPr>
          <w:rFonts w:cstheme="minorHAnsi"/>
          <w:sz w:val="24"/>
          <w:szCs w:val="24"/>
        </w:rPr>
        <w:t xml:space="preserve"> periodic payments.</w:t>
      </w:r>
      <w:r w:rsidR="00EB1612">
        <w:rPr>
          <w:rFonts w:cstheme="minorHAnsi"/>
          <w:sz w:val="24"/>
          <w:szCs w:val="24"/>
        </w:rPr>
        <w:t xml:space="preserve">  </w:t>
      </w:r>
      <w:r w:rsidR="00D05BD4">
        <w:rPr>
          <w:rFonts w:cstheme="minorHAnsi"/>
          <w:sz w:val="24"/>
          <w:szCs w:val="24"/>
        </w:rPr>
        <w:t xml:space="preserve">You can see an uptick in </w:t>
      </w:r>
      <w:r w:rsidR="0074266B">
        <w:rPr>
          <w:rFonts w:cstheme="minorHAnsi"/>
          <w:sz w:val="24"/>
          <w:szCs w:val="24"/>
        </w:rPr>
        <w:t xml:space="preserve">overall </w:t>
      </w:r>
      <w:r w:rsidR="00D05BD4">
        <w:rPr>
          <w:rFonts w:cstheme="minorHAnsi"/>
          <w:sz w:val="24"/>
          <w:szCs w:val="24"/>
        </w:rPr>
        <w:t xml:space="preserve">payments each year.  </w:t>
      </w:r>
      <w:r w:rsidR="0074266B">
        <w:rPr>
          <w:rFonts w:cstheme="minorHAnsi"/>
          <w:sz w:val="24"/>
          <w:szCs w:val="24"/>
        </w:rPr>
        <w:t>Th</w:t>
      </w:r>
      <w:r w:rsidR="00B63CAF">
        <w:rPr>
          <w:rFonts w:cstheme="minorHAnsi"/>
          <w:sz w:val="24"/>
          <w:szCs w:val="24"/>
        </w:rPr>
        <w:t xml:space="preserve">ese increases </w:t>
      </w:r>
      <w:r w:rsidR="001608D5">
        <w:rPr>
          <w:rFonts w:cstheme="minorHAnsi"/>
          <w:sz w:val="24"/>
          <w:szCs w:val="24"/>
        </w:rPr>
        <w:t xml:space="preserve">generally </w:t>
      </w:r>
      <w:r w:rsidR="0074266B">
        <w:rPr>
          <w:rFonts w:cstheme="minorHAnsi"/>
          <w:sz w:val="24"/>
          <w:szCs w:val="24"/>
        </w:rPr>
        <w:t>correlate closel</w:t>
      </w:r>
      <w:r w:rsidR="00B63CAF">
        <w:rPr>
          <w:rFonts w:cstheme="minorHAnsi"/>
          <w:sz w:val="24"/>
          <w:szCs w:val="24"/>
        </w:rPr>
        <w:t>y to</w:t>
      </w:r>
      <w:r w:rsidR="0074266B">
        <w:rPr>
          <w:rFonts w:cstheme="minorHAnsi"/>
          <w:sz w:val="24"/>
          <w:szCs w:val="24"/>
        </w:rPr>
        <w:t xml:space="preserve"> the yearly increase</w:t>
      </w:r>
      <w:r w:rsidR="00341A41">
        <w:rPr>
          <w:rFonts w:cstheme="minorHAnsi"/>
          <w:sz w:val="24"/>
          <w:szCs w:val="24"/>
        </w:rPr>
        <w:t>s</w:t>
      </w:r>
      <w:r w:rsidR="0074266B">
        <w:rPr>
          <w:rFonts w:cstheme="minorHAnsi"/>
          <w:sz w:val="24"/>
          <w:szCs w:val="24"/>
        </w:rPr>
        <w:t xml:space="preserve"> in the Average State Weekly Wage (ASWW).  </w:t>
      </w:r>
    </w:p>
    <w:p w14:paraId="7A65BC63" w14:textId="77777777" w:rsidR="0054218B" w:rsidRDefault="0054218B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688AEE18" w14:textId="34DCFAC4" w:rsidR="0054218B" w:rsidRDefault="0054218B" w:rsidP="00152453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4218B" w:rsidRPr="0054218B" w14:paraId="614308BC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2AB5" w14:textId="790F371A" w:rsidR="0054218B" w:rsidRPr="0054218B" w:rsidRDefault="0054218B" w:rsidP="005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18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68B0BB59" wp14:editId="68B5236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-15875</wp:posOffset>
                  </wp:positionV>
                  <wp:extent cx="5829300" cy="2667000"/>
                  <wp:effectExtent l="0" t="0" r="0" b="0"/>
                  <wp:wrapNone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497D4-3ABD-4F6C-93D2-C950F6B86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4218B" w:rsidRPr="0054218B" w14:paraId="54B0359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58BE" w14:textId="77777777" w:rsidR="0054218B" w:rsidRPr="0054218B" w:rsidRDefault="0054218B" w:rsidP="005421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70476B0" w14:textId="77777777" w:rsidR="0054218B" w:rsidRPr="0054218B" w:rsidRDefault="0054218B" w:rsidP="005421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047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05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B5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562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BBF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E6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62D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39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551994D9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64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CB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E2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B9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B31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74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B6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48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B5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2663BF7E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42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F9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7B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8D0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48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87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E0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5D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025F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7A014221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B7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42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FB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5439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24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85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F0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FA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D0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1A2A698D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29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61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A3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07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7AA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DB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82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66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E0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5DEE8914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9B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19B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16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F41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ED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3B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DAB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61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D5FF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0BC528D0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E4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33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2D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0A8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EE7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DD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93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47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70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6F07533C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76E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0E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68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9C9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E1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96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8F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B0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EB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53969FDE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18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45F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E2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9C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7F6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9B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FF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568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52EA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52CC191F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DEB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ED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31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38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9019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63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7B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18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58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14ED0F38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0F3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08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A7E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797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89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EBF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EC1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B2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40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1A337C12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9D8D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BA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FE6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46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46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080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D5E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D68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BF4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8B" w:rsidRPr="0054218B" w14:paraId="1AAD9D14" w14:textId="77777777" w:rsidTr="0054218B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C8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30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EB5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721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C7A0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99B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042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50C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481" w14:textId="77777777" w:rsidR="0054218B" w:rsidRPr="0054218B" w:rsidRDefault="0054218B" w:rsidP="0054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D0833" w14:textId="77777777" w:rsidR="0054218B" w:rsidRDefault="0054218B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2A90B10D" w14:textId="494C36E7" w:rsidR="00DE54D8" w:rsidRDefault="00DE54D8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0BE329D7" w14:textId="77777777" w:rsidR="00DE54D8" w:rsidRDefault="00DE54D8" w:rsidP="00152453">
      <w:pPr>
        <w:pStyle w:val="NoSpacing"/>
        <w:jc w:val="both"/>
        <w:rPr>
          <w:rFonts w:cstheme="minorHAnsi"/>
          <w:sz w:val="24"/>
          <w:szCs w:val="24"/>
        </w:rPr>
      </w:pPr>
    </w:p>
    <w:p w14:paraId="1D489740" w14:textId="77777777" w:rsidR="005B0DC3" w:rsidRDefault="005B0DC3" w:rsidP="005B0DC3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General Claim </w:t>
      </w:r>
      <w:r w:rsidRPr="00B24A56">
        <w:rPr>
          <w:rFonts w:cstheme="minorHAnsi"/>
          <w:b/>
          <w:bCs/>
          <w:sz w:val="28"/>
          <w:szCs w:val="28"/>
          <w:u w:val="single"/>
        </w:rPr>
        <w:t>Demographics</w:t>
      </w:r>
    </w:p>
    <w:p w14:paraId="75662EBA" w14:textId="797B9C9B" w:rsidR="00DE54D8" w:rsidRDefault="00DE54D8" w:rsidP="005B0DC3">
      <w:pPr>
        <w:pStyle w:val="NoSpacing"/>
        <w:rPr>
          <w:rFonts w:cstheme="minorHAnsi"/>
          <w:sz w:val="24"/>
          <w:szCs w:val="24"/>
        </w:rPr>
      </w:pPr>
    </w:p>
    <w:p w14:paraId="5CFA258C" w14:textId="77777777" w:rsidR="00DE54D8" w:rsidRDefault="00DE54D8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1B5CF171" w14:textId="1B9541B3" w:rsidR="005B0DC3" w:rsidRDefault="008E638C" w:rsidP="005B0DC3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 the unique nature of claims brought against the ISIF, individual data points </w:t>
      </w:r>
      <w:r w:rsidR="00C26077">
        <w:rPr>
          <w:rFonts w:cstheme="minorHAnsi"/>
          <w:sz w:val="24"/>
          <w:szCs w:val="24"/>
        </w:rPr>
        <w:t xml:space="preserve">should </w:t>
      </w:r>
      <w:r>
        <w:rPr>
          <w:rFonts w:cstheme="minorHAnsi"/>
          <w:sz w:val="24"/>
          <w:szCs w:val="24"/>
        </w:rPr>
        <w:t xml:space="preserve">be evaluated.  The claim and benefit information referenced above is based on a variety of  demographics.  </w:t>
      </w:r>
    </w:p>
    <w:p w14:paraId="5AA813A5" w14:textId="77777777" w:rsidR="005B0DC3" w:rsidRDefault="005B0DC3" w:rsidP="005B0DC3">
      <w:pPr>
        <w:pStyle w:val="NoSpacing"/>
        <w:rPr>
          <w:rFonts w:cstheme="minorHAnsi"/>
          <w:sz w:val="24"/>
          <w:szCs w:val="24"/>
        </w:rPr>
      </w:pPr>
    </w:p>
    <w:p w14:paraId="7D0687AA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7E8F8615" w14:textId="133CD854" w:rsidR="005B0DC3" w:rsidRPr="007756E5" w:rsidRDefault="005B0DC3" w:rsidP="005B0DC3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756E5">
        <w:rPr>
          <w:rFonts w:cstheme="minorHAnsi"/>
          <w:b/>
          <w:bCs/>
          <w:sz w:val="24"/>
          <w:szCs w:val="24"/>
        </w:rPr>
        <w:t>Average Claimant Age at Date of Injury:</w:t>
      </w:r>
      <w:r>
        <w:rPr>
          <w:rFonts w:cstheme="minorHAnsi"/>
          <w:sz w:val="24"/>
          <w:szCs w:val="24"/>
        </w:rPr>
        <w:tab/>
      </w:r>
      <w:r w:rsidR="00B83545">
        <w:rPr>
          <w:rFonts w:cstheme="minorHAnsi"/>
          <w:sz w:val="24"/>
          <w:szCs w:val="24"/>
        </w:rPr>
        <w:tab/>
      </w:r>
      <w:r w:rsidR="00B83545">
        <w:rPr>
          <w:rFonts w:cstheme="minorHAnsi"/>
          <w:sz w:val="24"/>
          <w:szCs w:val="24"/>
        </w:rPr>
        <w:tab/>
      </w:r>
      <w:r w:rsidRPr="007756E5">
        <w:rPr>
          <w:rFonts w:cstheme="minorHAnsi"/>
          <w:b/>
          <w:bCs/>
          <w:sz w:val="24"/>
          <w:szCs w:val="24"/>
        </w:rPr>
        <w:t>52</w:t>
      </w:r>
    </w:p>
    <w:p w14:paraId="6317C13F" w14:textId="77777777" w:rsidR="005B0DC3" w:rsidRDefault="005B0DC3" w:rsidP="005B0DC3">
      <w:pPr>
        <w:pStyle w:val="NoSpacing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19</w:t>
      </w:r>
    </w:p>
    <w:p w14:paraId="215D8433" w14:textId="77777777" w:rsidR="005B0DC3" w:rsidRDefault="005B0DC3" w:rsidP="005B0DC3">
      <w:pPr>
        <w:pStyle w:val="NoSpacing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Youngest</w:t>
      </w:r>
      <w:r>
        <w:rPr>
          <w:rFonts w:cstheme="minorHAnsi"/>
          <w:sz w:val="24"/>
          <w:szCs w:val="24"/>
        </w:rPr>
        <w:tab/>
        <w:t>72</w:t>
      </w:r>
    </w:p>
    <w:p w14:paraId="1BA56B1A" w14:textId="77777777" w:rsidR="005B0DC3" w:rsidRDefault="005B0DC3" w:rsidP="005B0DC3">
      <w:pPr>
        <w:pStyle w:val="NoSpacing"/>
        <w:ind w:left="1080"/>
        <w:jc w:val="both"/>
        <w:rPr>
          <w:rFonts w:cstheme="minorHAnsi"/>
          <w:sz w:val="24"/>
          <w:szCs w:val="24"/>
        </w:rPr>
      </w:pPr>
    </w:p>
    <w:p w14:paraId="340A7E5E" w14:textId="77777777" w:rsidR="005B0DC3" w:rsidRDefault="005B0DC3" w:rsidP="005B0DC3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74BB236E" w14:textId="77777777" w:rsidR="00DE54D8" w:rsidRDefault="005B0DC3" w:rsidP="00DE54D8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756E5">
        <w:rPr>
          <w:rFonts w:cstheme="minorHAnsi"/>
          <w:b/>
          <w:bCs/>
          <w:sz w:val="24"/>
          <w:szCs w:val="24"/>
        </w:rPr>
        <w:t>Average Time Between NOI and Complaint</w:t>
      </w:r>
      <w:r w:rsidR="00BD4AA8">
        <w:rPr>
          <w:rFonts w:cstheme="minorHAnsi"/>
          <w:b/>
          <w:bCs/>
          <w:sz w:val="24"/>
          <w:szCs w:val="24"/>
        </w:rPr>
        <w:t>:</w:t>
      </w:r>
      <w:r w:rsidR="00BD4AA8">
        <w:rPr>
          <w:rFonts w:cstheme="minorHAnsi"/>
          <w:b/>
          <w:bCs/>
          <w:sz w:val="24"/>
          <w:szCs w:val="24"/>
        </w:rPr>
        <w:tab/>
      </w:r>
      <w:r w:rsidR="006A4847">
        <w:rPr>
          <w:rFonts w:cstheme="minorHAnsi"/>
          <w:b/>
          <w:bCs/>
          <w:sz w:val="24"/>
          <w:szCs w:val="24"/>
        </w:rPr>
        <w:tab/>
        <w:t xml:space="preserve"> 3 months</w:t>
      </w:r>
    </w:p>
    <w:p w14:paraId="40DCF0AE" w14:textId="77777777" w:rsidR="00DE54D8" w:rsidRDefault="00DE54D8" w:rsidP="00DE54D8">
      <w:pPr>
        <w:pStyle w:val="NoSpacing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0B38E4A7" w14:textId="4A4B2BD2" w:rsidR="005B0DC3" w:rsidRPr="00DE54D8" w:rsidRDefault="005B0DC3" w:rsidP="00DE54D8">
      <w:pPr>
        <w:pStyle w:val="NoSpacing"/>
        <w:ind w:left="7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20A8841B" w14:textId="7A7D848D" w:rsidR="005B0DC3" w:rsidRDefault="005B0DC3" w:rsidP="005B0DC3">
      <w:pPr>
        <w:pStyle w:val="NoSpacing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756E5">
        <w:rPr>
          <w:rFonts w:cstheme="minorHAnsi"/>
          <w:b/>
          <w:bCs/>
          <w:sz w:val="24"/>
          <w:szCs w:val="24"/>
        </w:rPr>
        <w:t>Average Time Between Complaint and Result</w:t>
      </w:r>
      <w:r w:rsidR="00B83545">
        <w:rPr>
          <w:rFonts w:cstheme="minorHAnsi"/>
          <w:b/>
          <w:bCs/>
          <w:sz w:val="24"/>
          <w:szCs w:val="24"/>
        </w:rPr>
        <w:t>:</w:t>
      </w:r>
      <w:r w:rsidR="004C30FF">
        <w:rPr>
          <w:rFonts w:cstheme="minorHAnsi"/>
          <w:b/>
          <w:bCs/>
          <w:sz w:val="24"/>
          <w:szCs w:val="24"/>
        </w:rPr>
        <w:tab/>
      </w:r>
      <w:r w:rsidR="004C30FF">
        <w:rPr>
          <w:rFonts w:cstheme="minorHAnsi"/>
          <w:b/>
          <w:bCs/>
          <w:sz w:val="24"/>
          <w:szCs w:val="24"/>
        </w:rPr>
        <w:tab/>
      </w:r>
      <w:r w:rsidR="00B83545">
        <w:rPr>
          <w:rFonts w:cstheme="minorHAnsi"/>
          <w:b/>
          <w:bCs/>
          <w:sz w:val="24"/>
          <w:szCs w:val="24"/>
        </w:rPr>
        <w:t>1</w:t>
      </w:r>
      <w:r w:rsidR="00C06BEF">
        <w:rPr>
          <w:rFonts w:cstheme="minorHAnsi"/>
          <w:b/>
          <w:bCs/>
          <w:sz w:val="24"/>
          <w:szCs w:val="24"/>
        </w:rPr>
        <w:t xml:space="preserve"> </w:t>
      </w:r>
      <w:r w:rsidR="00B83545">
        <w:rPr>
          <w:rFonts w:cstheme="minorHAnsi"/>
          <w:b/>
          <w:bCs/>
          <w:sz w:val="24"/>
          <w:szCs w:val="24"/>
        </w:rPr>
        <w:t>½</w:t>
      </w:r>
      <w:r w:rsidR="00FA5269">
        <w:rPr>
          <w:rFonts w:cstheme="minorHAnsi"/>
          <w:b/>
          <w:bCs/>
          <w:sz w:val="24"/>
          <w:szCs w:val="24"/>
        </w:rPr>
        <w:t xml:space="preserve"> </w:t>
      </w:r>
      <w:r w:rsidR="00B83545">
        <w:rPr>
          <w:rFonts w:cstheme="minorHAnsi"/>
          <w:b/>
          <w:bCs/>
          <w:sz w:val="24"/>
          <w:szCs w:val="24"/>
        </w:rPr>
        <w:t>years</w:t>
      </w:r>
      <w:r w:rsidR="00FA5269">
        <w:rPr>
          <w:rFonts w:cstheme="minorHAnsi"/>
          <w:b/>
          <w:bCs/>
          <w:sz w:val="24"/>
          <w:szCs w:val="24"/>
        </w:rPr>
        <w:t xml:space="preserve"> (no hearing)</w:t>
      </w:r>
    </w:p>
    <w:p w14:paraId="05DC6B99" w14:textId="1F1AADC1" w:rsidR="00FA5269" w:rsidRDefault="00FA5269" w:rsidP="00FA5269">
      <w:pPr>
        <w:pStyle w:val="NoSpacing"/>
        <w:ind w:left="64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 ½ years (hearing)</w:t>
      </w:r>
    </w:p>
    <w:p w14:paraId="7BE0C471" w14:textId="77777777" w:rsidR="005B0DC3" w:rsidRPr="0006716C" w:rsidRDefault="005B0DC3" w:rsidP="005B0DC3">
      <w:pPr>
        <w:pStyle w:val="NoSpacing"/>
        <w:numPr>
          <w:ilvl w:val="0"/>
          <w:numId w:val="1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Longest:</w:t>
      </w:r>
      <w:r>
        <w:rPr>
          <w:rFonts w:cstheme="minorHAnsi"/>
          <w:sz w:val="24"/>
          <w:szCs w:val="24"/>
        </w:rPr>
        <w:tab/>
        <w:t>10 years 4 months</w:t>
      </w:r>
    </w:p>
    <w:p w14:paraId="29B61F68" w14:textId="0F9EEFC5" w:rsidR="005B0DC3" w:rsidRPr="00DE54D8" w:rsidRDefault="005B0DC3" w:rsidP="005B0DC3">
      <w:pPr>
        <w:pStyle w:val="NoSpacing"/>
        <w:numPr>
          <w:ilvl w:val="0"/>
          <w:numId w:val="1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Shortest:</w:t>
      </w:r>
      <w:r>
        <w:rPr>
          <w:rFonts w:cstheme="minorHAnsi"/>
          <w:sz w:val="24"/>
          <w:szCs w:val="24"/>
        </w:rPr>
        <w:tab/>
      </w:r>
      <w:r w:rsidR="00C06969">
        <w:rPr>
          <w:rFonts w:cstheme="minorHAnsi"/>
          <w:sz w:val="24"/>
          <w:szCs w:val="24"/>
        </w:rPr>
        <w:t xml:space="preserve">                </w:t>
      </w:r>
      <w:r w:rsidR="00B8354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months</w:t>
      </w:r>
      <w:r>
        <w:rPr>
          <w:rFonts w:cstheme="minorHAnsi"/>
          <w:sz w:val="24"/>
          <w:szCs w:val="24"/>
        </w:rPr>
        <w:tab/>
      </w:r>
    </w:p>
    <w:p w14:paraId="4ADFA522" w14:textId="77777777" w:rsidR="005B0DC3" w:rsidRPr="0000598A" w:rsidRDefault="005B0DC3" w:rsidP="005B0DC3">
      <w:pPr>
        <w:pStyle w:val="NoSpacing"/>
        <w:jc w:val="center"/>
        <w:rPr>
          <w:rFonts w:cstheme="minorHAnsi"/>
          <w:sz w:val="28"/>
          <w:szCs w:val="28"/>
        </w:rPr>
      </w:pPr>
      <w:r w:rsidRPr="0000598A">
        <w:rPr>
          <w:rFonts w:cstheme="minorHAnsi"/>
          <w:b/>
          <w:bCs/>
          <w:sz w:val="28"/>
          <w:szCs w:val="28"/>
          <w:u w:val="single"/>
        </w:rPr>
        <w:lastRenderedPageBreak/>
        <w:t xml:space="preserve">Beneficiary </w:t>
      </w:r>
      <w:r>
        <w:rPr>
          <w:rFonts w:cstheme="minorHAnsi"/>
          <w:b/>
          <w:bCs/>
          <w:sz w:val="28"/>
          <w:szCs w:val="28"/>
          <w:u w:val="single"/>
        </w:rPr>
        <w:t>Demographics</w:t>
      </w:r>
    </w:p>
    <w:p w14:paraId="00CEE6B7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1C75BA66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2C0A3A68" w14:textId="0A66A95B" w:rsidR="008C1E45" w:rsidRDefault="008C1E45" w:rsidP="005B0DC3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Number of Beneficiaries on Books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159</w:t>
      </w:r>
    </w:p>
    <w:p w14:paraId="1F7BC953" w14:textId="77777777" w:rsidR="00C06CE6" w:rsidRDefault="00C06CE6" w:rsidP="00C06CE6">
      <w:pPr>
        <w:pStyle w:val="NoSpacing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10880812" w14:textId="77777777" w:rsidR="008C1E45" w:rsidRDefault="008C1E45" w:rsidP="008C1E45">
      <w:pPr>
        <w:pStyle w:val="NoSpacing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6B7C8C35" w14:textId="1F6F6BD2" w:rsidR="005B0DC3" w:rsidRPr="008455BC" w:rsidRDefault="005B0DC3" w:rsidP="005B0DC3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7307D7">
        <w:rPr>
          <w:rFonts w:cstheme="minorHAnsi"/>
          <w:b/>
          <w:bCs/>
          <w:sz w:val="24"/>
          <w:szCs w:val="24"/>
        </w:rPr>
        <w:t>Average Age of Current Beneficiaries: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83545">
        <w:rPr>
          <w:rFonts w:cstheme="minorHAnsi"/>
          <w:sz w:val="24"/>
          <w:szCs w:val="24"/>
        </w:rPr>
        <w:tab/>
      </w:r>
      <w:r w:rsidRPr="008455BC">
        <w:rPr>
          <w:rFonts w:cstheme="minorHAnsi"/>
          <w:b/>
          <w:bCs/>
          <w:sz w:val="24"/>
          <w:szCs w:val="24"/>
        </w:rPr>
        <w:t>6</w:t>
      </w:r>
      <w:r w:rsidR="00FA5269">
        <w:rPr>
          <w:rFonts w:cstheme="minorHAnsi"/>
          <w:b/>
          <w:bCs/>
          <w:sz w:val="24"/>
          <w:szCs w:val="24"/>
        </w:rPr>
        <w:t xml:space="preserve">9 </w:t>
      </w:r>
    </w:p>
    <w:p w14:paraId="241BB897" w14:textId="77777777" w:rsidR="005B0DC3" w:rsidRDefault="005B0DC3" w:rsidP="005B0DC3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89</w:t>
      </w:r>
    </w:p>
    <w:p w14:paraId="5685474E" w14:textId="77777777" w:rsidR="005B0DC3" w:rsidRDefault="005B0DC3" w:rsidP="005B0DC3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Youngest</w:t>
      </w:r>
      <w:r>
        <w:rPr>
          <w:rFonts w:cstheme="minorHAnsi"/>
          <w:sz w:val="24"/>
          <w:szCs w:val="24"/>
        </w:rPr>
        <w:tab/>
        <w:t>35</w:t>
      </w:r>
    </w:p>
    <w:p w14:paraId="520D5BFE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658F0540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3AC94A42" w14:textId="624DC0C1" w:rsidR="005B0DC3" w:rsidRPr="008455BC" w:rsidRDefault="005B0DC3" w:rsidP="005B0DC3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7307D7">
        <w:rPr>
          <w:rFonts w:cstheme="minorHAnsi"/>
          <w:b/>
          <w:bCs/>
          <w:sz w:val="24"/>
          <w:szCs w:val="24"/>
        </w:rPr>
        <w:t>Average Age at Date of Injury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83545">
        <w:rPr>
          <w:rFonts w:cstheme="minorHAnsi"/>
          <w:sz w:val="24"/>
          <w:szCs w:val="24"/>
        </w:rPr>
        <w:tab/>
      </w:r>
      <w:r w:rsidRPr="008455BC">
        <w:rPr>
          <w:rFonts w:cstheme="minorHAnsi"/>
          <w:b/>
          <w:bCs/>
          <w:sz w:val="24"/>
          <w:szCs w:val="24"/>
        </w:rPr>
        <w:t>50</w:t>
      </w:r>
    </w:p>
    <w:p w14:paraId="57328FEE" w14:textId="77777777" w:rsidR="005B0DC3" w:rsidRDefault="005B0DC3" w:rsidP="005B0DC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71</w:t>
      </w:r>
    </w:p>
    <w:p w14:paraId="49C88204" w14:textId="3804F8A4" w:rsidR="005B0DC3" w:rsidRDefault="005B0DC3" w:rsidP="005B0DC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Youngest</w:t>
      </w:r>
      <w:r>
        <w:rPr>
          <w:rFonts w:cstheme="minorHAnsi"/>
          <w:sz w:val="24"/>
          <w:szCs w:val="24"/>
        </w:rPr>
        <w:tab/>
        <w:t>26</w:t>
      </w:r>
    </w:p>
    <w:p w14:paraId="31C3765C" w14:textId="77777777" w:rsidR="00B83545" w:rsidRPr="00666075" w:rsidRDefault="00B83545" w:rsidP="00B83545">
      <w:pPr>
        <w:pStyle w:val="NoSpacing"/>
        <w:jc w:val="both"/>
        <w:rPr>
          <w:rFonts w:cstheme="minorHAnsi"/>
          <w:sz w:val="24"/>
          <w:szCs w:val="24"/>
        </w:rPr>
      </w:pPr>
    </w:p>
    <w:p w14:paraId="2C30A427" w14:textId="77777777" w:rsidR="005B0DC3" w:rsidRDefault="005B0DC3" w:rsidP="005B0DC3">
      <w:pPr>
        <w:pStyle w:val="NoSpacing"/>
        <w:jc w:val="both"/>
        <w:rPr>
          <w:rFonts w:cstheme="minorHAnsi"/>
          <w:sz w:val="24"/>
          <w:szCs w:val="24"/>
        </w:rPr>
      </w:pPr>
    </w:p>
    <w:p w14:paraId="611637B2" w14:textId="5226DD4F" w:rsidR="005B0DC3" w:rsidRPr="007307D7" w:rsidRDefault="005B0DC3" w:rsidP="005B0DC3">
      <w:pPr>
        <w:pStyle w:val="NoSpacing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7307D7">
        <w:rPr>
          <w:rFonts w:cstheme="minorHAnsi"/>
          <w:b/>
          <w:bCs/>
          <w:sz w:val="24"/>
          <w:szCs w:val="24"/>
        </w:rPr>
        <w:t>Average Age a</w:t>
      </w:r>
      <w:r>
        <w:rPr>
          <w:rFonts w:cstheme="minorHAnsi"/>
          <w:b/>
          <w:bCs/>
          <w:sz w:val="24"/>
          <w:szCs w:val="24"/>
        </w:rPr>
        <w:t>t</w:t>
      </w:r>
      <w:r w:rsidRPr="007307D7">
        <w:rPr>
          <w:rFonts w:cstheme="minorHAnsi"/>
          <w:b/>
          <w:bCs/>
          <w:sz w:val="24"/>
          <w:szCs w:val="24"/>
        </w:rPr>
        <w:t xml:space="preserve"> Date of Death</w:t>
      </w:r>
      <w:r w:rsidRPr="007307D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B83545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75</w:t>
      </w:r>
      <w:r w:rsidRPr="007307D7">
        <w:rPr>
          <w:rFonts w:cstheme="minorHAnsi"/>
          <w:b/>
          <w:bCs/>
          <w:sz w:val="24"/>
          <w:szCs w:val="24"/>
        </w:rPr>
        <w:tab/>
      </w:r>
      <w:r w:rsidRPr="007307D7">
        <w:rPr>
          <w:rFonts w:cstheme="minorHAnsi"/>
          <w:b/>
          <w:bCs/>
          <w:sz w:val="24"/>
          <w:szCs w:val="24"/>
        </w:rPr>
        <w:tab/>
      </w:r>
    </w:p>
    <w:p w14:paraId="2C63851A" w14:textId="77777777" w:rsidR="005B0DC3" w:rsidRDefault="005B0DC3" w:rsidP="005B0DC3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93</w:t>
      </w:r>
    </w:p>
    <w:p w14:paraId="00F5FD55" w14:textId="77777777" w:rsidR="005B0DC3" w:rsidRDefault="005B0DC3" w:rsidP="005B0DC3">
      <w:pPr>
        <w:pStyle w:val="NoSpacing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Youngest</w:t>
      </w:r>
      <w:r>
        <w:rPr>
          <w:rFonts w:cstheme="minorHAnsi"/>
          <w:sz w:val="24"/>
          <w:szCs w:val="24"/>
        </w:rPr>
        <w:tab/>
        <w:t>47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D93457" w14:textId="77777777" w:rsidR="005B0DC3" w:rsidRDefault="005B0DC3" w:rsidP="000E2BC2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08B01CE" w14:textId="77777777" w:rsidR="00DE54D8" w:rsidRDefault="00DE54D8" w:rsidP="000E2BC2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E8E1A7E" w14:textId="7504B46F" w:rsidR="000E2BC2" w:rsidRPr="00DE78E2" w:rsidRDefault="00902EEA" w:rsidP="000E2BC2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E78E2">
        <w:rPr>
          <w:rFonts w:cstheme="minorHAnsi"/>
          <w:b/>
          <w:sz w:val="28"/>
          <w:szCs w:val="28"/>
          <w:u w:val="single"/>
        </w:rPr>
        <w:t>Legal</w:t>
      </w:r>
      <w:r w:rsidR="005A370E">
        <w:rPr>
          <w:rFonts w:cstheme="minorHAnsi"/>
          <w:b/>
          <w:sz w:val="28"/>
          <w:szCs w:val="28"/>
          <w:u w:val="single"/>
        </w:rPr>
        <w:t xml:space="preserve"> Representation</w:t>
      </w:r>
      <w:r w:rsidRPr="00DE78E2">
        <w:rPr>
          <w:rFonts w:cstheme="minorHAnsi"/>
          <w:b/>
          <w:sz w:val="28"/>
          <w:szCs w:val="28"/>
          <w:u w:val="single"/>
        </w:rPr>
        <w:t xml:space="preserve"> </w:t>
      </w:r>
      <w:r w:rsidR="00650026">
        <w:rPr>
          <w:rFonts w:cstheme="minorHAnsi"/>
          <w:b/>
          <w:sz w:val="28"/>
          <w:szCs w:val="28"/>
          <w:u w:val="single"/>
        </w:rPr>
        <w:t xml:space="preserve">&amp; Office </w:t>
      </w:r>
      <w:r w:rsidRPr="00DE78E2">
        <w:rPr>
          <w:rFonts w:cstheme="minorHAnsi"/>
          <w:b/>
          <w:sz w:val="28"/>
          <w:szCs w:val="28"/>
          <w:u w:val="single"/>
        </w:rPr>
        <w:t>A</w:t>
      </w:r>
      <w:r w:rsidR="000E2BC2" w:rsidRPr="00DE78E2">
        <w:rPr>
          <w:rFonts w:cstheme="minorHAnsi"/>
          <w:b/>
          <w:sz w:val="28"/>
          <w:szCs w:val="28"/>
          <w:u w:val="single"/>
        </w:rPr>
        <w:t>dministratio</w:t>
      </w:r>
      <w:r w:rsidR="00F2205A" w:rsidRPr="00DE78E2">
        <w:rPr>
          <w:rFonts w:cstheme="minorHAnsi"/>
          <w:b/>
          <w:sz w:val="28"/>
          <w:szCs w:val="28"/>
          <w:u w:val="single"/>
        </w:rPr>
        <w:t>n</w:t>
      </w:r>
    </w:p>
    <w:p w14:paraId="7B2D713D" w14:textId="066ABD2F" w:rsidR="00F00330" w:rsidRPr="00831EA5" w:rsidRDefault="000E2BC2" w:rsidP="00831EA5">
      <w:pPr>
        <w:pStyle w:val="NoSpacing"/>
        <w:jc w:val="both"/>
        <w:rPr>
          <w:rFonts w:ascii="Arial" w:hAnsi="Arial" w:cs="Arial"/>
        </w:rPr>
      </w:pPr>
      <w:r w:rsidRPr="00A71EAE">
        <w:rPr>
          <w:rFonts w:ascii="Arial" w:hAnsi="Arial" w:cs="Arial"/>
        </w:rPr>
        <w:t xml:space="preserve">  </w:t>
      </w:r>
      <w:r w:rsidR="00F00330">
        <w:rPr>
          <w:rFonts w:ascii="Arial" w:hAnsi="Arial" w:cs="Arial"/>
          <w:u w:val="single"/>
        </w:rPr>
        <w:t xml:space="preserve">  </w:t>
      </w:r>
    </w:p>
    <w:p w14:paraId="153348C3" w14:textId="77777777" w:rsidR="00DE54D8" w:rsidRDefault="00DE54D8" w:rsidP="007B7DDC">
      <w:pPr>
        <w:pStyle w:val="NoSpacing"/>
        <w:jc w:val="both"/>
        <w:rPr>
          <w:rFonts w:cstheme="minorHAnsi"/>
          <w:sz w:val="24"/>
          <w:szCs w:val="24"/>
        </w:rPr>
      </w:pPr>
    </w:p>
    <w:p w14:paraId="1E4A1CF0" w14:textId="42B7788B" w:rsidR="005A370E" w:rsidRDefault="007B5E44" w:rsidP="007B7D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claims and benefits</w:t>
      </w:r>
      <w:r w:rsidR="00E01DA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other two </w:t>
      </w:r>
      <w:r w:rsidR="005A370E">
        <w:rPr>
          <w:rFonts w:cstheme="minorHAnsi"/>
          <w:sz w:val="24"/>
          <w:szCs w:val="24"/>
        </w:rPr>
        <w:t>integral parts of the</w:t>
      </w:r>
      <w:r w:rsidR="004F496C" w:rsidRPr="00842051">
        <w:rPr>
          <w:rFonts w:cstheme="minorHAnsi"/>
          <w:sz w:val="24"/>
          <w:szCs w:val="24"/>
        </w:rPr>
        <w:t xml:space="preserve"> ISIF operation </w:t>
      </w:r>
      <w:r w:rsidR="004F496C">
        <w:rPr>
          <w:rFonts w:cstheme="minorHAnsi"/>
          <w:sz w:val="24"/>
          <w:szCs w:val="24"/>
        </w:rPr>
        <w:t xml:space="preserve">are </w:t>
      </w:r>
      <w:r w:rsidR="0010412C">
        <w:rPr>
          <w:rFonts w:cstheme="minorHAnsi"/>
          <w:sz w:val="24"/>
          <w:szCs w:val="24"/>
        </w:rPr>
        <w:t xml:space="preserve">the </w:t>
      </w:r>
      <w:r w:rsidR="004F496C">
        <w:rPr>
          <w:rFonts w:cstheme="minorHAnsi"/>
          <w:sz w:val="24"/>
          <w:szCs w:val="24"/>
        </w:rPr>
        <w:t xml:space="preserve">legal </w:t>
      </w:r>
      <w:r w:rsidR="007B7DDC">
        <w:rPr>
          <w:rFonts w:cstheme="minorHAnsi"/>
          <w:sz w:val="24"/>
          <w:szCs w:val="24"/>
        </w:rPr>
        <w:t>and administrative</w:t>
      </w:r>
      <w:r w:rsidR="0010412C">
        <w:rPr>
          <w:rFonts w:cstheme="minorHAnsi"/>
          <w:sz w:val="24"/>
          <w:szCs w:val="24"/>
        </w:rPr>
        <w:t xml:space="preserve"> expenditures</w:t>
      </w:r>
      <w:r w:rsidR="004F496C">
        <w:rPr>
          <w:rFonts w:cstheme="minorHAnsi"/>
          <w:sz w:val="24"/>
          <w:szCs w:val="24"/>
        </w:rPr>
        <w:t xml:space="preserve">. </w:t>
      </w:r>
      <w:r w:rsidR="0044065E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itigation </w:t>
      </w:r>
      <w:r w:rsidR="004F496C">
        <w:rPr>
          <w:rFonts w:cstheme="minorHAnsi"/>
          <w:sz w:val="24"/>
          <w:szCs w:val="24"/>
        </w:rPr>
        <w:t xml:space="preserve">expenses </w:t>
      </w:r>
      <w:r w:rsidR="004F496C" w:rsidRPr="00842051">
        <w:rPr>
          <w:rFonts w:cstheme="minorHAnsi"/>
          <w:sz w:val="24"/>
          <w:szCs w:val="24"/>
        </w:rPr>
        <w:t xml:space="preserve">include </w:t>
      </w:r>
      <w:r>
        <w:rPr>
          <w:rFonts w:cstheme="minorHAnsi"/>
          <w:sz w:val="24"/>
          <w:szCs w:val="24"/>
        </w:rPr>
        <w:t>attorney fees and costs</w:t>
      </w:r>
      <w:r w:rsidR="004F496C" w:rsidRPr="00842051">
        <w:rPr>
          <w:rFonts w:cstheme="minorHAnsi"/>
          <w:sz w:val="24"/>
          <w:szCs w:val="24"/>
        </w:rPr>
        <w:t xml:space="preserve">, depositions, as well as </w:t>
      </w:r>
      <w:r w:rsidR="004F496C">
        <w:rPr>
          <w:rFonts w:cstheme="minorHAnsi"/>
          <w:sz w:val="24"/>
          <w:szCs w:val="24"/>
        </w:rPr>
        <w:t>the services</w:t>
      </w:r>
      <w:r w:rsidR="004F496C" w:rsidRPr="00842051">
        <w:rPr>
          <w:rFonts w:cstheme="minorHAnsi"/>
          <w:sz w:val="24"/>
          <w:szCs w:val="24"/>
        </w:rPr>
        <w:t xml:space="preserve"> of medical, </w:t>
      </w:r>
      <w:r w:rsidR="004F496C">
        <w:rPr>
          <w:rFonts w:cstheme="minorHAnsi"/>
          <w:sz w:val="24"/>
          <w:szCs w:val="24"/>
        </w:rPr>
        <w:t xml:space="preserve">investigative, </w:t>
      </w:r>
      <w:r w:rsidR="004F496C" w:rsidRPr="00842051">
        <w:rPr>
          <w:rFonts w:cstheme="minorHAnsi"/>
          <w:sz w:val="24"/>
          <w:szCs w:val="24"/>
        </w:rPr>
        <w:t>and vocational experts</w:t>
      </w:r>
      <w:r w:rsidR="007B7DDC">
        <w:rPr>
          <w:rFonts w:cstheme="minorHAnsi"/>
          <w:sz w:val="24"/>
          <w:szCs w:val="24"/>
        </w:rPr>
        <w:t xml:space="preserve">.  Despite the complexity of the claims, litigation costs have remained fairly steady with a slight decline.  This is in large part due to the expertise of the attorneys representing the ISIF as well as </w:t>
      </w:r>
      <w:r w:rsidR="006D5D25">
        <w:rPr>
          <w:rFonts w:cstheme="minorHAnsi"/>
          <w:sz w:val="24"/>
          <w:szCs w:val="24"/>
        </w:rPr>
        <w:t xml:space="preserve">the active involvement by ISIF staff.  </w:t>
      </w:r>
    </w:p>
    <w:p w14:paraId="3ED5F655" w14:textId="315802A8" w:rsidR="0048145F" w:rsidRDefault="0048145F" w:rsidP="007B7DDC">
      <w:pPr>
        <w:pStyle w:val="NoSpacing"/>
        <w:jc w:val="both"/>
        <w:rPr>
          <w:rFonts w:cstheme="minorHAnsi"/>
          <w:sz w:val="24"/>
          <w:szCs w:val="24"/>
        </w:rPr>
      </w:pPr>
    </w:p>
    <w:p w14:paraId="6DE67309" w14:textId="2DD92B6A" w:rsidR="00885924" w:rsidRDefault="0048145F" w:rsidP="0048145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expenditures for Fiscal Year 2021 were $378,461, with a five-year average of $421,691.  </w:t>
      </w:r>
    </w:p>
    <w:p w14:paraId="23192BD7" w14:textId="17B39C7E" w:rsidR="006D5D25" w:rsidRDefault="006D5D25" w:rsidP="007B7DDC">
      <w:pPr>
        <w:pStyle w:val="NoSpacing"/>
        <w:jc w:val="both"/>
        <w:rPr>
          <w:rFonts w:cstheme="minorHAnsi"/>
          <w:sz w:val="24"/>
          <w:szCs w:val="24"/>
        </w:rPr>
      </w:pPr>
    </w:p>
    <w:p w14:paraId="6C45B368" w14:textId="77777777" w:rsidR="00DE54D8" w:rsidRDefault="00DE54D8" w:rsidP="0048145F">
      <w:pPr>
        <w:pStyle w:val="NoSpacing"/>
        <w:jc w:val="both"/>
        <w:rPr>
          <w:rFonts w:cstheme="minorHAnsi"/>
          <w:sz w:val="24"/>
          <w:szCs w:val="24"/>
        </w:rPr>
      </w:pPr>
    </w:p>
    <w:p w14:paraId="709D47E3" w14:textId="30B07179" w:rsidR="0048145F" w:rsidRDefault="006D5D25" w:rsidP="0048145F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Agenc</w:t>
      </w:r>
      <w:r w:rsidR="00143EA4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costs include </w:t>
      </w:r>
      <w:r w:rsidRPr="00842051">
        <w:rPr>
          <w:rFonts w:cstheme="minorHAnsi"/>
          <w:sz w:val="24"/>
          <w:szCs w:val="24"/>
        </w:rPr>
        <w:t>maintaining an administrative office in Bois</w:t>
      </w:r>
      <w:r>
        <w:rPr>
          <w:rFonts w:cstheme="minorHAnsi"/>
          <w:sz w:val="24"/>
          <w:szCs w:val="24"/>
        </w:rPr>
        <w:t xml:space="preserve">e, as well as </w:t>
      </w:r>
      <w:r w:rsidRPr="00842051">
        <w:rPr>
          <w:rFonts w:cstheme="minorHAnsi"/>
          <w:sz w:val="24"/>
          <w:szCs w:val="24"/>
        </w:rPr>
        <w:t xml:space="preserve">support services </w:t>
      </w:r>
      <w:r>
        <w:rPr>
          <w:rFonts w:cstheme="minorHAnsi"/>
          <w:sz w:val="24"/>
          <w:szCs w:val="24"/>
        </w:rPr>
        <w:t>provided by</w:t>
      </w:r>
      <w:r w:rsidRPr="00842051">
        <w:rPr>
          <w:rFonts w:cstheme="minorHAnsi"/>
          <w:sz w:val="24"/>
          <w:szCs w:val="24"/>
        </w:rPr>
        <w:t xml:space="preserve"> the Department of Administration,</w:t>
      </w:r>
      <w:r w:rsidR="00E01DA7">
        <w:rPr>
          <w:rFonts w:cstheme="minorHAnsi"/>
          <w:sz w:val="24"/>
          <w:szCs w:val="24"/>
        </w:rPr>
        <w:t xml:space="preserve"> the Office of Information Technology Services</w:t>
      </w:r>
      <w:r w:rsidRPr="00842051">
        <w:rPr>
          <w:rFonts w:cstheme="minorHAnsi"/>
          <w:sz w:val="24"/>
          <w:szCs w:val="24"/>
        </w:rPr>
        <w:t xml:space="preserve">, and the Idaho Industrial Commission.  </w:t>
      </w:r>
      <w:r w:rsidR="001A6FA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his year saw a</w:t>
      </w:r>
      <w:r w:rsidR="00143EA4">
        <w:rPr>
          <w:rFonts w:cstheme="minorHAnsi"/>
          <w:sz w:val="24"/>
          <w:szCs w:val="24"/>
        </w:rPr>
        <w:t>n overall</w:t>
      </w:r>
      <w:r>
        <w:rPr>
          <w:rFonts w:cstheme="minorHAnsi"/>
          <w:sz w:val="24"/>
          <w:szCs w:val="24"/>
        </w:rPr>
        <w:t xml:space="preserve"> decrease in administrative costs</w:t>
      </w:r>
      <w:r w:rsidR="00143EA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primarily due to the reduction in personnel from two fulltime employees to one</w:t>
      </w:r>
      <w:r w:rsidR="0048145F">
        <w:rPr>
          <w:rFonts w:cstheme="minorHAnsi"/>
          <w:sz w:val="24"/>
          <w:szCs w:val="24"/>
        </w:rPr>
        <w:t>.</w:t>
      </w:r>
    </w:p>
    <w:p w14:paraId="0A513D74" w14:textId="69AF33F9" w:rsidR="0048145F" w:rsidRDefault="0048145F" w:rsidP="0048145F">
      <w:pPr>
        <w:pStyle w:val="NoSpacing"/>
        <w:jc w:val="both"/>
        <w:rPr>
          <w:rFonts w:cstheme="minorHAnsi"/>
          <w:sz w:val="24"/>
          <w:szCs w:val="24"/>
        </w:rPr>
      </w:pPr>
    </w:p>
    <w:p w14:paraId="2151D317" w14:textId="20280504" w:rsidR="009E65D6" w:rsidRPr="008C1E45" w:rsidRDefault="00693230" w:rsidP="00245FF2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Administrative </w:t>
      </w:r>
      <w:r w:rsidR="0048145F">
        <w:rPr>
          <w:rFonts w:cstheme="minorHAnsi"/>
          <w:sz w:val="24"/>
          <w:szCs w:val="24"/>
        </w:rPr>
        <w:t>expenditures for Fiscal Year 2021 were $226,42</w:t>
      </w:r>
      <w:r w:rsidR="00552864">
        <w:rPr>
          <w:rFonts w:cstheme="minorHAnsi"/>
          <w:sz w:val="24"/>
          <w:szCs w:val="24"/>
        </w:rPr>
        <w:t>8</w:t>
      </w:r>
      <w:r w:rsidR="0048145F">
        <w:rPr>
          <w:rFonts w:cstheme="minorHAnsi"/>
          <w:sz w:val="24"/>
          <w:szCs w:val="24"/>
        </w:rPr>
        <w:t>, with a five-year average of $255,54</w:t>
      </w:r>
      <w:r w:rsidR="00D7744B">
        <w:rPr>
          <w:rFonts w:cstheme="minorHAnsi"/>
          <w:sz w:val="24"/>
          <w:szCs w:val="24"/>
        </w:rPr>
        <w:t>2</w:t>
      </w:r>
      <w:r w:rsidR="0048145F">
        <w:rPr>
          <w:rFonts w:cstheme="minorHAnsi"/>
          <w:sz w:val="24"/>
          <w:szCs w:val="24"/>
        </w:rPr>
        <w:t xml:space="preserve">.  </w:t>
      </w:r>
    </w:p>
    <w:p w14:paraId="5B1BCBC8" w14:textId="77777777" w:rsidR="007129C3" w:rsidRDefault="0012353B" w:rsidP="00245FF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D3D9" w:themeFill="accent2" w:themeFillTint="99"/>
        <w:tblLook w:val="04A0" w:firstRow="1" w:lastRow="0" w:firstColumn="1" w:lastColumn="0" w:noHBand="0" w:noVBand="1"/>
      </w:tblPr>
      <w:tblGrid>
        <w:gridCol w:w="8640"/>
      </w:tblGrid>
      <w:tr w:rsidR="00E77251" w:rsidRPr="00191819" w14:paraId="58F2D6A4" w14:textId="77777777" w:rsidTr="0027469C">
        <w:tc>
          <w:tcPr>
            <w:tcW w:w="9576" w:type="dxa"/>
            <w:shd w:val="clear" w:color="auto" w:fill="002060"/>
          </w:tcPr>
          <w:p w14:paraId="54659ADC" w14:textId="51E3A13E" w:rsidR="00E77251" w:rsidRPr="00C80520" w:rsidRDefault="00317F26" w:rsidP="00F7098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0520">
              <w:rPr>
                <w:rFonts w:cstheme="minorHAnsi"/>
                <w:b/>
                <w:sz w:val="28"/>
                <w:szCs w:val="28"/>
              </w:rPr>
              <w:t>Financial Report</w:t>
            </w:r>
          </w:p>
        </w:tc>
      </w:tr>
    </w:tbl>
    <w:p w14:paraId="772140EB" w14:textId="77777777" w:rsidR="005B4F5A" w:rsidRPr="00A71EAE" w:rsidRDefault="005B4F5A" w:rsidP="005B4F5A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A71EAE">
        <w:rPr>
          <w:rFonts w:ascii="Arial" w:eastAsia="Times New Roman" w:hAnsi="Arial" w:cs="Arial"/>
          <w:color w:val="000000"/>
        </w:rPr>
        <w:t xml:space="preserve"> </w:t>
      </w:r>
    </w:p>
    <w:p w14:paraId="5B3660C0" w14:textId="274D9E47" w:rsidR="005A370E" w:rsidRPr="006D77E6" w:rsidRDefault="005A370E" w:rsidP="006D77E6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42051">
        <w:rPr>
          <w:rFonts w:eastAsia="Times New Roman" w:cstheme="minorHAnsi"/>
          <w:color w:val="000000"/>
          <w:sz w:val="24"/>
          <w:szCs w:val="24"/>
        </w:rPr>
        <w:t xml:space="preserve">The revenue-side of the </w:t>
      </w:r>
      <w:r>
        <w:rPr>
          <w:rFonts w:eastAsia="Times New Roman" w:cstheme="minorHAnsi"/>
          <w:color w:val="000000"/>
          <w:sz w:val="24"/>
          <w:szCs w:val="24"/>
        </w:rPr>
        <w:t>ISIF budget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 is composed of the annual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Pr="00842051">
        <w:rPr>
          <w:rFonts w:eastAsia="Times New Roman" w:cstheme="minorHAnsi"/>
          <w:color w:val="000000"/>
          <w:sz w:val="24"/>
          <w:szCs w:val="24"/>
        </w:rPr>
        <w:t>ssessment, fees for late payment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842051">
        <w:rPr>
          <w:rFonts w:eastAsia="Times New Roman" w:cstheme="minorHAnsi"/>
          <w:color w:val="000000"/>
          <w:sz w:val="24"/>
          <w:szCs w:val="24"/>
        </w:rPr>
        <w:t>, accrued interest, death benefit receipts, and insurance annuit</w:t>
      </w:r>
      <w:r>
        <w:rPr>
          <w:rFonts w:eastAsia="Times New Roman" w:cstheme="minorHAnsi"/>
          <w:color w:val="000000"/>
          <w:sz w:val="24"/>
          <w:szCs w:val="24"/>
        </w:rPr>
        <w:t xml:space="preserve">y payments.  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The expenditure-side of the </w:t>
      </w:r>
      <w:r>
        <w:rPr>
          <w:rFonts w:eastAsia="Times New Roman" w:cstheme="minorHAnsi"/>
          <w:color w:val="000000"/>
          <w:sz w:val="24"/>
          <w:szCs w:val="24"/>
        </w:rPr>
        <w:t>budget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 is broken into three main categories: 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enefits, </w:t>
      </w:r>
      <w:r>
        <w:rPr>
          <w:rFonts w:eastAsia="Times New Roman" w:cstheme="minorHAnsi"/>
          <w:color w:val="000000"/>
          <w:sz w:val="24"/>
          <w:szCs w:val="24"/>
        </w:rPr>
        <w:t>l</w:t>
      </w:r>
      <w:r w:rsidRPr="00842051">
        <w:rPr>
          <w:rFonts w:eastAsia="Times New Roman" w:cstheme="minorHAnsi"/>
          <w:color w:val="000000"/>
          <w:sz w:val="24"/>
          <w:szCs w:val="24"/>
        </w:rPr>
        <w:t>egal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BE0D73">
        <w:rPr>
          <w:rFonts w:eastAsia="Times New Roman" w:cstheme="minorHAnsi"/>
          <w:color w:val="000000"/>
          <w:sz w:val="24"/>
          <w:szCs w:val="24"/>
        </w:rPr>
        <w:t xml:space="preserve">office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Pr="00842051">
        <w:rPr>
          <w:rFonts w:eastAsia="Times New Roman" w:cstheme="minorHAnsi"/>
          <w:color w:val="000000"/>
          <w:sz w:val="24"/>
          <w:szCs w:val="24"/>
        </w:rPr>
        <w:t>dminist</w:t>
      </w:r>
      <w:r>
        <w:rPr>
          <w:rFonts w:eastAsia="Times New Roman" w:cstheme="minorHAnsi"/>
          <w:color w:val="000000"/>
          <w:sz w:val="24"/>
          <w:szCs w:val="24"/>
        </w:rPr>
        <w:t>ration</w:t>
      </w:r>
      <w:r w:rsidRPr="0084205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751C540" w14:textId="70E34E0E" w:rsidR="00317F26" w:rsidRPr="00842051" w:rsidRDefault="00317F26" w:rsidP="00317F26">
      <w:pPr>
        <w:pStyle w:val="NoSpacing"/>
        <w:jc w:val="both"/>
        <w:rPr>
          <w:rFonts w:cstheme="minorHAnsi"/>
          <w:sz w:val="24"/>
          <w:szCs w:val="24"/>
        </w:rPr>
      </w:pPr>
      <w:r w:rsidRPr="00842051">
        <w:rPr>
          <w:rFonts w:cstheme="minorHAnsi"/>
          <w:sz w:val="24"/>
          <w:szCs w:val="24"/>
        </w:rPr>
        <w:t>A summary of the financial position of ISIF at the end of the 202</w:t>
      </w:r>
      <w:r w:rsidR="00031B1F">
        <w:rPr>
          <w:rFonts w:cstheme="minorHAnsi"/>
          <w:sz w:val="24"/>
          <w:szCs w:val="24"/>
        </w:rPr>
        <w:t>1</w:t>
      </w:r>
      <w:r w:rsidRPr="00842051">
        <w:rPr>
          <w:rFonts w:cstheme="minorHAnsi"/>
          <w:sz w:val="24"/>
          <w:szCs w:val="24"/>
        </w:rPr>
        <w:t xml:space="preserve"> </w:t>
      </w:r>
      <w:r w:rsidR="00031B1F">
        <w:rPr>
          <w:rFonts w:cstheme="minorHAnsi"/>
          <w:sz w:val="24"/>
          <w:szCs w:val="24"/>
        </w:rPr>
        <w:t>Fiscal Year</w:t>
      </w:r>
      <w:r w:rsidRPr="00842051">
        <w:rPr>
          <w:rFonts w:cstheme="minorHAnsi"/>
          <w:sz w:val="24"/>
          <w:szCs w:val="24"/>
        </w:rPr>
        <w:t xml:space="preserve"> is set out below.</w:t>
      </w:r>
    </w:p>
    <w:p w14:paraId="57090396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0FDB7B72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721B71BE" w14:textId="4644601E" w:rsidR="00317F26" w:rsidRPr="001400C2" w:rsidRDefault="00317F26" w:rsidP="00317F26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7F580B">
        <w:rPr>
          <w:rFonts w:ascii="Arial" w:hAnsi="Arial" w:cs="Arial"/>
          <w:b/>
          <w:bCs/>
        </w:rPr>
        <w:t>Beginning Cash Balance</w:t>
      </w:r>
      <w:r w:rsidRPr="001400C2">
        <w:rPr>
          <w:rFonts w:ascii="Arial" w:hAnsi="Arial" w:cs="Arial"/>
        </w:rPr>
        <w:tab/>
      </w:r>
      <w:r w:rsidRPr="001400C2">
        <w:rPr>
          <w:rFonts w:ascii="Arial" w:hAnsi="Arial" w:cs="Arial"/>
        </w:rPr>
        <w:tab/>
      </w:r>
      <w:r w:rsidRPr="001400C2">
        <w:rPr>
          <w:rFonts w:ascii="Arial" w:hAnsi="Arial" w:cs="Arial"/>
        </w:rPr>
        <w:tab/>
      </w:r>
      <w:r w:rsidRPr="001400C2">
        <w:rPr>
          <w:rFonts w:ascii="Arial" w:hAnsi="Arial" w:cs="Arial"/>
        </w:rPr>
        <w:tab/>
        <w:t xml:space="preserve">    </w:t>
      </w:r>
      <w:r w:rsidRPr="001400C2">
        <w:rPr>
          <w:rFonts w:ascii="Arial" w:hAnsi="Arial" w:cs="Arial"/>
          <w:b/>
          <w:bCs/>
        </w:rPr>
        <w:t>$</w:t>
      </w:r>
      <w:r w:rsidRPr="001400C2">
        <w:rPr>
          <w:rFonts w:ascii="Arial" w:hAnsi="Arial" w:cs="Arial"/>
          <w:b/>
          <w:bCs/>
        </w:rPr>
        <w:tab/>
      </w:r>
      <w:r w:rsidR="00941B96">
        <w:rPr>
          <w:rFonts w:ascii="Arial" w:hAnsi="Arial" w:cs="Arial"/>
          <w:b/>
          <w:bCs/>
        </w:rPr>
        <w:t>5</w:t>
      </w:r>
      <w:r w:rsidR="006D77E6">
        <w:rPr>
          <w:rFonts w:ascii="Arial" w:hAnsi="Arial" w:cs="Arial"/>
          <w:b/>
          <w:bCs/>
        </w:rPr>
        <w:t>,087,170</w:t>
      </w:r>
    </w:p>
    <w:p w14:paraId="21E7821B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5E483F98" w14:textId="372371E9" w:rsidR="00317F26" w:rsidRDefault="00317F26" w:rsidP="00317F26">
      <w:pPr>
        <w:pStyle w:val="NoSpacing"/>
        <w:jc w:val="both"/>
        <w:rPr>
          <w:rFonts w:ascii="Arial" w:hAnsi="Arial" w:cs="Arial"/>
        </w:rPr>
      </w:pPr>
      <w:r w:rsidRPr="007F580B">
        <w:rPr>
          <w:rFonts w:ascii="Arial" w:hAnsi="Arial" w:cs="Arial"/>
        </w:rPr>
        <w:t xml:space="preserve">     Income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+</w:t>
      </w:r>
      <w:r>
        <w:rPr>
          <w:rFonts w:ascii="Arial" w:hAnsi="Arial" w:cs="Arial"/>
        </w:rPr>
        <w:tab/>
      </w:r>
      <w:r w:rsidR="00941B96">
        <w:rPr>
          <w:rFonts w:ascii="Arial" w:hAnsi="Arial" w:cs="Arial"/>
        </w:rPr>
        <w:t>4,</w:t>
      </w:r>
      <w:r w:rsidR="00E54C04">
        <w:rPr>
          <w:rFonts w:ascii="Arial" w:hAnsi="Arial" w:cs="Arial"/>
        </w:rPr>
        <w:t>724,953</w:t>
      </w:r>
    </w:p>
    <w:p w14:paraId="14BC9764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783CC58F" w14:textId="0C0FEA71" w:rsidR="00317F26" w:rsidRDefault="00317F26" w:rsidP="00317F2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F580B">
        <w:rPr>
          <w:rFonts w:ascii="Arial" w:hAnsi="Arial" w:cs="Arial"/>
        </w:rPr>
        <w:t>Expenses</w:t>
      </w:r>
      <w:r w:rsidRPr="007F580B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 xml:space="preserve">                  -</w:t>
      </w:r>
      <w:r>
        <w:rPr>
          <w:rFonts w:ascii="Arial" w:hAnsi="Arial" w:cs="Arial"/>
        </w:rPr>
        <w:tab/>
      </w:r>
      <w:r w:rsidR="00941B96">
        <w:rPr>
          <w:rFonts w:ascii="Arial" w:hAnsi="Arial" w:cs="Arial"/>
        </w:rPr>
        <w:t>4,</w:t>
      </w:r>
      <w:r w:rsidR="00E54C04">
        <w:rPr>
          <w:rFonts w:ascii="Arial" w:hAnsi="Arial" w:cs="Arial"/>
        </w:rPr>
        <w:t>703</w:t>
      </w:r>
      <w:r w:rsidR="00BE0D73">
        <w:rPr>
          <w:rFonts w:ascii="Arial" w:hAnsi="Arial" w:cs="Arial"/>
        </w:rPr>
        <w:t>,479</w:t>
      </w:r>
    </w:p>
    <w:p w14:paraId="4FDD11D9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6F028A65" w14:textId="1ECB6577" w:rsidR="00317F26" w:rsidRPr="00196AF8" w:rsidRDefault="00317F26" w:rsidP="00317F26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196AF8">
        <w:rPr>
          <w:rFonts w:ascii="Arial" w:hAnsi="Arial" w:cs="Arial"/>
          <w:b/>
          <w:bCs/>
        </w:rPr>
        <w:t>Ending Cash Balance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$      </w:t>
      </w:r>
      <w:r w:rsidR="00BE0D73">
        <w:rPr>
          <w:rFonts w:ascii="Arial" w:hAnsi="Arial" w:cs="Arial"/>
          <w:b/>
          <w:bCs/>
        </w:rPr>
        <w:t>5,108,644</w:t>
      </w:r>
    </w:p>
    <w:p w14:paraId="4F84395B" w14:textId="77777777" w:rsidR="00317F26" w:rsidRDefault="00317F26" w:rsidP="00317F26">
      <w:pPr>
        <w:pStyle w:val="NoSpacing"/>
        <w:jc w:val="both"/>
        <w:rPr>
          <w:rFonts w:ascii="Arial" w:hAnsi="Arial" w:cs="Arial"/>
        </w:rPr>
      </w:pPr>
    </w:p>
    <w:p w14:paraId="338F79F0" w14:textId="12F9E668" w:rsidR="00BE0D73" w:rsidRDefault="00BE0D73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808E0A0" w14:textId="7DB3C170" w:rsidR="00BE0D73" w:rsidRDefault="00BE0D73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D3D9" w:themeFill="accent2" w:themeFillTint="99"/>
        <w:tblLook w:val="04A0" w:firstRow="1" w:lastRow="0" w:firstColumn="1" w:lastColumn="0" w:noHBand="0" w:noVBand="1"/>
      </w:tblPr>
      <w:tblGrid>
        <w:gridCol w:w="8640"/>
      </w:tblGrid>
      <w:tr w:rsidR="00BE0D73" w:rsidRPr="00191819" w14:paraId="6FEB5622" w14:textId="77777777" w:rsidTr="0027469C">
        <w:tc>
          <w:tcPr>
            <w:tcW w:w="9576" w:type="dxa"/>
            <w:shd w:val="clear" w:color="auto" w:fill="002060"/>
          </w:tcPr>
          <w:p w14:paraId="1C65293A" w14:textId="2850A4B2" w:rsidR="00BE0D73" w:rsidRPr="00C80520" w:rsidRDefault="00BE0D73" w:rsidP="006D407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0520">
              <w:rPr>
                <w:rFonts w:cstheme="minorHAnsi"/>
                <w:b/>
                <w:sz w:val="28"/>
                <w:szCs w:val="28"/>
              </w:rPr>
              <w:t>Assessment</w:t>
            </w:r>
          </w:p>
        </w:tc>
      </w:tr>
    </w:tbl>
    <w:p w14:paraId="6293EACB" w14:textId="5FA34B41" w:rsidR="00BE0D73" w:rsidRDefault="00BE0D73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3EEE024" w14:textId="3E880CFA" w:rsidR="00BE0D73" w:rsidRDefault="00BE0D73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annual assessment for Calendar Year 2022 is $4,298,314.  This represents </w:t>
      </w:r>
      <w:r w:rsidR="00F03FD6">
        <w:rPr>
          <w:rFonts w:eastAsia="Times New Roman" w:cstheme="minorHAnsi"/>
          <w:color w:val="000000"/>
          <w:sz w:val="24"/>
          <w:szCs w:val="24"/>
        </w:rPr>
        <w:t xml:space="preserve">a 1.3% reduction from </w:t>
      </w:r>
      <w:r w:rsidR="00D007B9">
        <w:rPr>
          <w:rFonts w:eastAsia="Times New Roman" w:cstheme="minorHAnsi"/>
          <w:color w:val="000000"/>
          <w:sz w:val="24"/>
          <w:szCs w:val="24"/>
        </w:rPr>
        <w:t>last year’s assessment</w:t>
      </w:r>
      <w:r w:rsidR="00F03FD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E6120">
        <w:rPr>
          <w:rFonts w:eastAsia="Times New Roman" w:cstheme="minorHAnsi"/>
          <w:color w:val="000000"/>
          <w:sz w:val="24"/>
          <w:szCs w:val="24"/>
        </w:rPr>
        <w:t xml:space="preserve">  While a reduction in the assessment is unusual, the ISIF will continue to remain attentive to its financial responsibilities.</w:t>
      </w:r>
    </w:p>
    <w:p w14:paraId="6468F7C7" w14:textId="77777777" w:rsidR="00BE0D73" w:rsidRDefault="00BE0D73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E0D73" w:rsidRPr="00BE0D73" w14:paraId="31858B4D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010" w14:textId="739FCC2D" w:rsidR="00BE0D73" w:rsidRPr="00BE0D73" w:rsidRDefault="00BE0D73" w:rsidP="00BE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0D7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05344" behindDoc="0" locked="0" layoutInCell="1" allowOverlap="1" wp14:anchorId="0ED99221" wp14:editId="78A5B23B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-29210</wp:posOffset>
                  </wp:positionV>
                  <wp:extent cx="5762625" cy="2276475"/>
                  <wp:effectExtent l="0" t="0" r="9525" b="9525"/>
                  <wp:wrapNone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9B62BE-B0B0-43E4-B42B-4699D9C296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E0D73" w:rsidRPr="00BE0D73" w14:paraId="71247B6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A38DE" w14:textId="77777777" w:rsidR="00BE0D73" w:rsidRPr="00BE0D73" w:rsidRDefault="00BE0D73" w:rsidP="00BE0D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FA0228C" w14:textId="77777777" w:rsidR="00BE0D73" w:rsidRPr="00BE0D73" w:rsidRDefault="00BE0D73" w:rsidP="00BE0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AC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E16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DC1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28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4A6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D97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FB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F18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0BA91507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C98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2D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D1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53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110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C4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1E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84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787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03D5322B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CB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5D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71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D0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FCA3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DD2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07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FD8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6A2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1395DA7E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BBA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99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F6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5F7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58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C85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AB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FBE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63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193870B3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1D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1B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0C8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C4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305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50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E6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72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41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2831D8C8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01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FA8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029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2A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B4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C7A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D8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D9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0F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3A44B0DF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323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5B6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C905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666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5D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915A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13A6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4A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66E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032DE9D2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0E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7B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1E7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8F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FE0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0F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C41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B5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1B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2FBFF2A9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17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B43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01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FE5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7D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7C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228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3973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06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509AB5E9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7F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4D9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57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627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F3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70B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C55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2D3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2B5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D73" w:rsidRPr="00BE0D73" w14:paraId="2E4FB6EF" w14:textId="77777777" w:rsidTr="00BE0D7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4BC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90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C454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4FE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33D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BCF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FC2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D30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765" w14:textId="77777777" w:rsidR="00BE0D73" w:rsidRPr="00BE0D73" w:rsidRDefault="00BE0D73" w:rsidP="00BE0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154A71" w14:textId="77777777" w:rsidR="007E67D8" w:rsidRDefault="007E67D8" w:rsidP="00D557D1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sectPr w:rsidR="007E67D8" w:rsidSect="0027469C">
      <w:footerReference w:type="default" r:id="rId14"/>
      <w:pgSz w:w="12240" w:h="15840" w:code="1"/>
      <w:pgMar w:top="1440" w:right="2160" w:bottom="1440" w:left="1440" w:header="720" w:footer="418" w:gutter="0"/>
      <w:pgBorders w:display="firstPage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45D0" w14:textId="77777777" w:rsidR="00827E70" w:rsidRDefault="00827E70" w:rsidP="00121859">
      <w:pPr>
        <w:spacing w:after="0" w:line="240" w:lineRule="auto"/>
      </w:pPr>
      <w:r>
        <w:separator/>
      </w:r>
    </w:p>
  </w:endnote>
  <w:endnote w:type="continuationSeparator" w:id="0">
    <w:p w14:paraId="062AD798" w14:textId="77777777" w:rsidR="00827E70" w:rsidRDefault="00827E70" w:rsidP="0012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6B8D" w14:textId="77777777" w:rsidR="00827E70" w:rsidRDefault="00827E70">
    <w:pPr>
      <w:pStyle w:val="Footer"/>
      <w:jc w:val="center"/>
    </w:pPr>
    <w:r>
      <w:t xml:space="preserve">Page </w:t>
    </w:r>
    <w:sdt>
      <w:sdtPr>
        <w:id w:val="574470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0EF6C8E8" w14:textId="77777777" w:rsidR="00827E70" w:rsidRDefault="0082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27E9" w14:textId="77777777" w:rsidR="00827E70" w:rsidRDefault="00827E70" w:rsidP="00121859">
      <w:pPr>
        <w:spacing w:after="0" w:line="240" w:lineRule="auto"/>
      </w:pPr>
      <w:r>
        <w:separator/>
      </w:r>
    </w:p>
  </w:footnote>
  <w:footnote w:type="continuationSeparator" w:id="0">
    <w:p w14:paraId="21C9675B" w14:textId="77777777" w:rsidR="00827E70" w:rsidRDefault="00827E70" w:rsidP="0012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CC2"/>
    <w:multiLevelType w:val="hybridMultilevel"/>
    <w:tmpl w:val="AD3EBC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395C8C"/>
    <w:multiLevelType w:val="hybridMultilevel"/>
    <w:tmpl w:val="E2F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0819"/>
    <w:multiLevelType w:val="hybridMultilevel"/>
    <w:tmpl w:val="D58601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8121C"/>
    <w:multiLevelType w:val="hybridMultilevel"/>
    <w:tmpl w:val="CB9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54D4"/>
    <w:multiLevelType w:val="hybridMultilevel"/>
    <w:tmpl w:val="04989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E09D9"/>
    <w:multiLevelType w:val="hybridMultilevel"/>
    <w:tmpl w:val="DD744B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361CA"/>
    <w:multiLevelType w:val="hybridMultilevel"/>
    <w:tmpl w:val="7E4C9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5A2CB2"/>
    <w:multiLevelType w:val="hybridMultilevel"/>
    <w:tmpl w:val="BC603A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907B44"/>
    <w:multiLevelType w:val="hybridMultilevel"/>
    <w:tmpl w:val="60A2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281F"/>
    <w:multiLevelType w:val="hybridMultilevel"/>
    <w:tmpl w:val="B614A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F3111"/>
    <w:multiLevelType w:val="hybridMultilevel"/>
    <w:tmpl w:val="6D12DD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77646"/>
    <w:multiLevelType w:val="hybridMultilevel"/>
    <w:tmpl w:val="33F25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F1"/>
    <w:rsid w:val="00000FFD"/>
    <w:rsid w:val="00001580"/>
    <w:rsid w:val="00004096"/>
    <w:rsid w:val="0000598A"/>
    <w:rsid w:val="00006917"/>
    <w:rsid w:val="00006C8F"/>
    <w:rsid w:val="0000729B"/>
    <w:rsid w:val="000077A8"/>
    <w:rsid w:val="00007883"/>
    <w:rsid w:val="000079B5"/>
    <w:rsid w:val="00012164"/>
    <w:rsid w:val="00012F24"/>
    <w:rsid w:val="000133C9"/>
    <w:rsid w:val="00014871"/>
    <w:rsid w:val="00015521"/>
    <w:rsid w:val="00015906"/>
    <w:rsid w:val="00015C10"/>
    <w:rsid w:val="000205C5"/>
    <w:rsid w:val="00020867"/>
    <w:rsid w:val="00022873"/>
    <w:rsid w:val="00025B70"/>
    <w:rsid w:val="00025BC0"/>
    <w:rsid w:val="000310FB"/>
    <w:rsid w:val="00031B1F"/>
    <w:rsid w:val="0003200C"/>
    <w:rsid w:val="00034E1F"/>
    <w:rsid w:val="000366E2"/>
    <w:rsid w:val="00036B73"/>
    <w:rsid w:val="000373B8"/>
    <w:rsid w:val="0003784A"/>
    <w:rsid w:val="000401DC"/>
    <w:rsid w:val="00041A95"/>
    <w:rsid w:val="00042898"/>
    <w:rsid w:val="00042EC5"/>
    <w:rsid w:val="000434A9"/>
    <w:rsid w:val="0004413C"/>
    <w:rsid w:val="00044619"/>
    <w:rsid w:val="000507BC"/>
    <w:rsid w:val="00050F56"/>
    <w:rsid w:val="0005280F"/>
    <w:rsid w:val="00052956"/>
    <w:rsid w:val="000546A6"/>
    <w:rsid w:val="0005475A"/>
    <w:rsid w:val="00057197"/>
    <w:rsid w:val="000573F7"/>
    <w:rsid w:val="000575C8"/>
    <w:rsid w:val="00060F20"/>
    <w:rsid w:val="00062133"/>
    <w:rsid w:val="00062A55"/>
    <w:rsid w:val="00062D60"/>
    <w:rsid w:val="00062EC9"/>
    <w:rsid w:val="00063589"/>
    <w:rsid w:val="00063FDF"/>
    <w:rsid w:val="00064BAA"/>
    <w:rsid w:val="000656AE"/>
    <w:rsid w:val="000657EC"/>
    <w:rsid w:val="0006716C"/>
    <w:rsid w:val="000675E2"/>
    <w:rsid w:val="00067C69"/>
    <w:rsid w:val="000708CE"/>
    <w:rsid w:val="00070C3F"/>
    <w:rsid w:val="00072439"/>
    <w:rsid w:val="0007301B"/>
    <w:rsid w:val="00074013"/>
    <w:rsid w:val="00074304"/>
    <w:rsid w:val="000762E3"/>
    <w:rsid w:val="000779ED"/>
    <w:rsid w:val="00083513"/>
    <w:rsid w:val="000865C2"/>
    <w:rsid w:val="000869F5"/>
    <w:rsid w:val="00087386"/>
    <w:rsid w:val="0008752B"/>
    <w:rsid w:val="00090517"/>
    <w:rsid w:val="000918FF"/>
    <w:rsid w:val="00091CE8"/>
    <w:rsid w:val="0009405F"/>
    <w:rsid w:val="00096CCD"/>
    <w:rsid w:val="000A001D"/>
    <w:rsid w:val="000A0535"/>
    <w:rsid w:val="000A0679"/>
    <w:rsid w:val="000A1EF6"/>
    <w:rsid w:val="000A2E7D"/>
    <w:rsid w:val="000A580F"/>
    <w:rsid w:val="000A68E0"/>
    <w:rsid w:val="000A716D"/>
    <w:rsid w:val="000A7CB1"/>
    <w:rsid w:val="000B4432"/>
    <w:rsid w:val="000B448A"/>
    <w:rsid w:val="000B46F7"/>
    <w:rsid w:val="000B47BF"/>
    <w:rsid w:val="000B4A3E"/>
    <w:rsid w:val="000B4C45"/>
    <w:rsid w:val="000B4F09"/>
    <w:rsid w:val="000B5EB7"/>
    <w:rsid w:val="000B6A11"/>
    <w:rsid w:val="000C29A9"/>
    <w:rsid w:val="000C4811"/>
    <w:rsid w:val="000C4EC5"/>
    <w:rsid w:val="000C618D"/>
    <w:rsid w:val="000C6F99"/>
    <w:rsid w:val="000C7244"/>
    <w:rsid w:val="000C7BFB"/>
    <w:rsid w:val="000D2454"/>
    <w:rsid w:val="000D3AC6"/>
    <w:rsid w:val="000D3E75"/>
    <w:rsid w:val="000D4DEF"/>
    <w:rsid w:val="000D4DF9"/>
    <w:rsid w:val="000D5843"/>
    <w:rsid w:val="000D5F78"/>
    <w:rsid w:val="000D5FB8"/>
    <w:rsid w:val="000D683D"/>
    <w:rsid w:val="000D7B55"/>
    <w:rsid w:val="000E2BC2"/>
    <w:rsid w:val="000E327B"/>
    <w:rsid w:val="000E33A8"/>
    <w:rsid w:val="000E4318"/>
    <w:rsid w:val="000E5B90"/>
    <w:rsid w:val="000E5FBD"/>
    <w:rsid w:val="000E71CA"/>
    <w:rsid w:val="000E7B8A"/>
    <w:rsid w:val="000F2DCB"/>
    <w:rsid w:val="000F3D92"/>
    <w:rsid w:val="000F4B71"/>
    <w:rsid w:val="000F7834"/>
    <w:rsid w:val="0010412C"/>
    <w:rsid w:val="00104A33"/>
    <w:rsid w:val="00106DC5"/>
    <w:rsid w:val="00106DC8"/>
    <w:rsid w:val="00106E3E"/>
    <w:rsid w:val="00107E01"/>
    <w:rsid w:val="001122FE"/>
    <w:rsid w:val="00112E8A"/>
    <w:rsid w:val="00113523"/>
    <w:rsid w:val="00114164"/>
    <w:rsid w:val="00114312"/>
    <w:rsid w:val="00115B24"/>
    <w:rsid w:val="0011663F"/>
    <w:rsid w:val="001167A5"/>
    <w:rsid w:val="0012031A"/>
    <w:rsid w:val="00121731"/>
    <w:rsid w:val="00121859"/>
    <w:rsid w:val="00121F68"/>
    <w:rsid w:val="0012353B"/>
    <w:rsid w:val="001237AE"/>
    <w:rsid w:val="0012422D"/>
    <w:rsid w:val="001242BC"/>
    <w:rsid w:val="001247C7"/>
    <w:rsid w:val="0012506E"/>
    <w:rsid w:val="00125F4B"/>
    <w:rsid w:val="001313E6"/>
    <w:rsid w:val="00132CB4"/>
    <w:rsid w:val="00133978"/>
    <w:rsid w:val="00135586"/>
    <w:rsid w:val="0013560D"/>
    <w:rsid w:val="00136763"/>
    <w:rsid w:val="0013702B"/>
    <w:rsid w:val="001376D8"/>
    <w:rsid w:val="00137F18"/>
    <w:rsid w:val="001400C2"/>
    <w:rsid w:val="001402F9"/>
    <w:rsid w:val="0014063F"/>
    <w:rsid w:val="00143370"/>
    <w:rsid w:val="00143B5B"/>
    <w:rsid w:val="00143D32"/>
    <w:rsid w:val="00143EA4"/>
    <w:rsid w:val="00145728"/>
    <w:rsid w:val="00145F39"/>
    <w:rsid w:val="00146881"/>
    <w:rsid w:val="00150FB1"/>
    <w:rsid w:val="00152453"/>
    <w:rsid w:val="00152703"/>
    <w:rsid w:val="0015402E"/>
    <w:rsid w:val="00154451"/>
    <w:rsid w:val="00155631"/>
    <w:rsid w:val="0015616F"/>
    <w:rsid w:val="001608D5"/>
    <w:rsid w:val="00160C33"/>
    <w:rsid w:val="001620A0"/>
    <w:rsid w:val="00162451"/>
    <w:rsid w:val="00162817"/>
    <w:rsid w:val="00162B2B"/>
    <w:rsid w:val="00163AC0"/>
    <w:rsid w:val="00163FF5"/>
    <w:rsid w:val="0016608F"/>
    <w:rsid w:val="00166411"/>
    <w:rsid w:val="00166D71"/>
    <w:rsid w:val="00166F20"/>
    <w:rsid w:val="00170AD7"/>
    <w:rsid w:val="00171C22"/>
    <w:rsid w:val="001725A2"/>
    <w:rsid w:val="00176E35"/>
    <w:rsid w:val="00177CB4"/>
    <w:rsid w:val="00180708"/>
    <w:rsid w:val="00181B45"/>
    <w:rsid w:val="00182AEA"/>
    <w:rsid w:val="00182B8E"/>
    <w:rsid w:val="0018326A"/>
    <w:rsid w:val="001832CB"/>
    <w:rsid w:val="00186C78"/>
    <w:rsid w:val="00186FAA"/>
    <w:rsid w:val="00187509"/>
    <w:rsid w:val="0019071C"/>
    <w:rsid w:val="00191819"/>
    <w:rsid w:val="001921EB"/>
    <w:rsid w:val="00193CDD"/>
    <w:rsid w:val="00194959"/>
    <w:rsid w:val="001950E2"/>
    <w:rsid w:val="00195CE1"/>
    <w:rsid w:val="00196589"/>
    <w:rsid w:val="00196AF8"/>
    <w:rsid w:val="001A0FF2"/>
    <w:rsid w:val="001A2AF9"/>
    <w:rsid w:val="001A2E6A"/>
    <w:rsid w:val="001A567D"/>
    <w:rsid w:val="001A5B49"/>
    <w:rsid w:val="001A6A23"/>
    <w:rsid w:val="001A6A89"/>
    <w:rsid w:val="001A6ED2"/>
    <w:rsid w:val="001A6FA1"/>
    <w:rsid w:val="001A6FFD"/>
    <w:rsid w:val="001A76EE"/>
    <w:rsid w:val="001B0FEE"/>
    <w:rsid w:val="001B1B8B"/>
    <w:rsid w:val="001B490B"/>
    <w:rsid w:val="001B5563"/>
    <w:rsid w:val="001B57EC"/>
    <w:rsid w:val="001B5883"/>
    <w:rsid w:val="001B5AE3"/>
    <w:rsid w:val="001B5BB1"/>
    <w:rsid w:val="001B6177"/>
    <w:rsid w:val="001C0125"/>
    <w:rsid w:val="001C0661"/>
    <w:rsid w:val="001C1250"/>
    <w:rsid w:val="001C130A"/>
    <w:rsid w:val="001C1643"/>
    <w:rsid w:val="001C225B"/>
    <w:rsid w:val="001C26E7"/>
    <w:rsid w:val="001C3220"/>
    <w:rsid w:val="001C52FB"/>
    <w:rsid w:val="001C58BB"/>
    <w:rsid w:val="001D306B"/>
    <w:rsid w:val="001D47C9"/>
    <w:rsid w:val="001D5038"/>
    <w:rsid w:val="001E0203"/>
    <w:rsid w:val="001E03AB"/>
    <w:rsid w:val="001E375B"/>
    <w:rsid w:val="001E6501"/>
    <w:rsid w:val="001E65B6"/>
    <w:rsid w:val="001E6753"/>
    <w:rsid w:val="001E7830"/>
    <w:rsid w:val="001E7BBC"/>
    <w:rsid w:val="001F03F0"/>
    <w:rsid w:val="001F04B7"/>
    <w:rsid w:val="001F1A38"/>
    <w:rsid w:val="001F32FD"/>
    <w:rsid w:val="001F4379"/>
    <w:rsid w:val="001F46CD"/>
    <w:rsid w:val="001F56D9"/>
    <w:rsid w:val="00200E25"/>
    <w:rsid w:val="00201976"/>
    <w:rsid w:val="002030D5"/>
    <w:rsid w:val="0020365F"/>
    <w:rsid w:val="00203F7D"/>
    <w:rsid w:val="00204E06"/>
    <w:rsid w:val="002066BB"/>
    <w:rsid w:val="002076FC"/>
    <w:rsid w:val="002079DE"/>
    <w:rsid w:val="002101BE"/>
    <w:rsid w:val="0021033A"/>
    <w:rsid w:val="0021140E"/>
    <w:rsid w:val="00211538"/>
    <w:rsid w:val="00211C36"/>
    <w:rsid w:val="002129DD"/>
    <w:rsid w:val="00213807"/>
    <w:rsid w:val="002145A1"/>
    <w:rsid w:val="00214CBD"/>
    <w:rsid w:val="0021569D"/>
    <w:rsid w:val="00215E96"/>
    <w:rsid w:val="0021653A"/>
    <w:rsid w:val="00220D59"/>
    <w:rsid w:val="00220E1C"/>
    <w:rsid w:val="00221BCE"/>
    <w:rsid w:val="002221F0"/>
    <w:rsid w:val="00222A65"/>
    <w:rsid w:val="00223722"/>
    <w:rsid w:val="002241A9"/>
    <w:rsid w:val="00226D55"/>
    <w:rsid w:val="00231729"/>
    <w:rsid w:val="00232148"/>
    <w:rsid w:val="00237942"/>
    <w:rsid w:val="0024071B"/>
    <w:rsid w:val="002407E9"/>
    <w:rsid w:val="00243A1D"/>
    <w:rsid w:val="00244A8C"/>
    <w:rsid w:val="00244C77"/>
    <w:rsid w:val="00245084"/>
    <w:rsid w:val="00245483"/>
    <w:rsid w:val="00245FF2"/>
    <w:rsid w:val="00250C9F"/>
    <w:rsid w:val="00251E13"/>
    <w:rsid w:val="00253605"/>
    <w:rsid w:val="00253E90"/>
    <w:rsid w:val="00253F9D"/>
    <w:rsid w:val="00254298"/>
    <w:rsid w:val="00255F76"/>
    <w:rsid w:val="00256081"/>
    <w:rsid w:val="00256FF1"/>
    <w:rsid w:val="002602AB"/>
    <w:rsid w:val="00260CBC"/>
    <w:rsid w:val="00260D7F"/>
    <w:rsid w:val="00260F9D"/>
    <w:rsid w:val="0026482D"/>
    <w:rsid w:val="00264CE1"/>
    <w:rsid w:val="00265D6C"/>
    <w:rsid w:val="002677AA"/>
    <w:rsid w:val="002701D7"/>
    <w:rsid w:val="00273F34"/>
    <w:rsid w:val="0027469C"/>
    <w:rsid w:val="00274D8B"/>
    <w:rsid w:val="00275C81"/>
    <w:rsid w:val="0027683A"/>
    <w:rsid w:val="00277F7E"/>
    <w:rsid w:val="00281279"/>
    <w:rsid w:val="00282573"/>
    <w:rsid w:val="002826D4"/>
    <w:rsid w:val="002828B1"/>
    <w:rsid w:val="00283004"/>
    <w:rsid w:val="00283FBA"/>
    <w:rsid w:val="002840E6"/>
    <w:rsid w:val="0028652F"/>
    <w:rsid w:val="00286CB4"/>
    <w:rsid w:val="00287E02"/>
    <w:rsid w:val="00290070"/>
    <w:rsid w:val="00290E65"/>
    <w:rsid w:val="00293BE8"/>
    <w:rsid w:val="00295511"/>
    <w:rsid w:val="00295F36"/>
    <w:rsid w:val="002A0710"/>
    <w:rsid w:val="002A0CDE"/>
    <w:rsid w:val="002A4002"/>
    <w:rsid w:val="002A4F8D"/>
    <w:rsid w:val="002A51D6"/>
    <w:rsid w:val="002A7288"/>
    <w:rsid w:val="002A7A15"/>
    <w:rsid w:val="002B0B65"/>
    <w:rsid w:val="002B1103"/>
    <w:rsid w:val="002B4890"/>
    <w:rsid w:val="002B59D1"/>
    <w:rsid w:val="002B6473"/>
    <w:rsid w:val="002B76F0"/>
    <w:rsid w:val="002C1710"/>
    <w:rsid w:val="002C1A29"/>
    <w:rsid w:val="002C1E62"/>
    <w:rsid w:val="002C36B2"/>
    <w:rsid w:val="002C4567"/>
    <w:rsid w:val="002C55AE"/>
    <w:rsid w:val="002C5DC7"/>
    <w:rsid w:val="002D0DAC"/>
    <w:rsid w:val="002D2808"/>
    <w:rsid w:val="002D56C6"/>
    <w:rsid w:val="002D7BA5"/>
    <w:rsid w:val="002E17B9"/>
    <w:rsid w:val="002E2385"/>
    <w:rsid w:val="002E47A2"/>
    <w:rsid w:val="002E517B"/>
    <w:rsid w:val="002E6640"/>
    <w:rsid w:val="002E6744"/>
    <w:rsid w:val="002E758F"/>
    <w:rsid w:val="002F04B7"/>
    <w:rsid w:val="002F1A58"/>
    <w:rsid w:val="002F24F7"/>
    <w:rsid w:val="002F4871"/>
    <w:rsid w:val="002F6040"/>
    <w:rsid w:val="002F6149"/>
    <w:rsid w:val="002F6949"/>
    <w:rsid w:val="002F6D94"/>
    <w:rsid w:val="002F784C"/>
    <w:rsid w:val="003017F1"/>
    <w:rsid w:val="00305387"/>
    <w:rsid w:val="00306279"/>
    <w:rsid w:val="003066F5"/>
    <w:rsid w:val="003102E9"/>
    <w:rsid w:val="00311865"/>
    <w:rsid w:val="00313F7B"/>
    <w:rsid w:val="003144AB"/>
    <w:rsid w:val="003144EB"/>
    <w:rsid w:val="0031625F"/>
    <w:rsid w:val="00317F26"/>
    <w:rsid w:val="003220D9"/>
    <w:rsid w:val="00325088"/>
    <w:rsid w:val="00325F26"/>
    <w:rsid w:val="003260A5"/>
    <w:rsid w:val="003262FA"/>
    <w:rsid w:val="00327B01"/>
    <w:rsid w:val="00331527"/>
    <w:rsid w:val="00331C68"/>
    <w:rsid w:val="00331C99"/>
    <w:rsid w:val="003320DA"/>
    <w:rsid w:val="00332ADC"/>
    <w:rsid w:val="00337493"/>
    <w:rsid w:val="0034044A"/>
    <w:rsid w:val="00341461"/>
    <w:rsid w:val="00341A41"/>
    <w:rsid w:val="00341E59"/>
    <w:rsid w:val="00341F07"/>
    <w:rsid w:val="00342405"/>
    <w:rsid w:val="00342C7B"/>
    <w:rsid w:val="003439AB"/>
    <w:rsid w:val="00344080"/>
    <w:rsid w:val="00344831"/>
    <w:rsid w:val="003458F1"/>
    <w:rsid w:val="00345B5F"/>
    <w:rsid w:val="003463ED"/>
    <w:rsid w:val="003478D6"/>
    <w:rsid w:val="00347B72"/>
    <w:rsid w:val="0035291D"/>
    <w:rsid w:val="00352FF9"/>
    <w:rsid w:val="003530DA"/>
    <w:rsid w:val="00353595"/>
    <w:rsid w:val="00354EDA"/>
    <w:rsid w:val="00355828"/>
    <w:rsid w:val="00356FFA"/>
    <w:rsid w:val="0035730E"/>
    <w:rsid w:val="00357DAD"/>
    <w:rsid w:val="003603D8"/>
    <w:rsid w:val="00360EDA"/>
    <w:rsid w:val="00362541"/>
    <w:rsid w:val="00362BC6"/>
    <w:rsid w:val="00363607"/>
    <w:rsid w:val="00363875"/>
    <w:rsid w:val="00364088"/>
    <w:rsid w:val="0036583D"/>
    <w:rsid w:val="00365A2D"/>
    <w:rsid w:val="00372244"/>
    <w:rsid w:val="0037480C"/>
    <w:rsid w:val="003772AE"/>
    <w:rsid w:val="00380B46"/>
    <w:rsid w:val="0038205B"/>
    <w:rsid w:val="00382390"/>
    <w:rsid w:val="00382B74"/>
    <w:rsid w:val="00383725"/>
    <w:rsid w:val="00386970"/>
    <w:rsid w:val="00392ABD"/>
    <w:rsid w:val="00393A28"/>
    <w:rsid w:val="00394BD5"/>
    <w:rsid w:val="0039693F"/>
    <w:rsid w:val="00396CB1"/>
    <w:rsid w:val="003A22AF"/>
    <w:rsid w:val="003A234A"/>
    <w:rsid w:val="003A29E8"/>
    <w:rsid w:val="003A38C1"/>
    <w:rsid w:val="003A3C8C"/>
    <w:rsid w:val="003A43CB"/>
    <w:rsid w:val="003A5152"/>
    <w:rsid w:val="003A519B"/>
    <w:rsid w:val="003A60D0"/>
    <w:rsid w:val="003A6517"/>
    <w:rsid w:val="003B0230"/>
    <w:rsid w:val="003B03BF"/>
    <w:rsid w:val="003B0E11"/>
    <w:rsid w:val="003B181E"/>
    <w:rsid w:val="003B186D"/>
    <w:rsid w:val="003B1E75"/>
    <w:rsid w:val="003B2D82"/>
    <w:rsid w:val="003B56DA"/>
    <w:rsid w:val="003B6772"/>
    <w:rsid w:val="003B6BD2"/>
    <w:rsid w:val="003B70E3"/>
    <w:rsid w:val="003C008C"/>
    <w:rsid w:val="003C0ED5"/>
    <w:rsid w:val="003C1839"/>
    <w:rsid w:val="003C1C6F"/>
    <w:rsid w:val="003C20DA"/>
    <w:rsid w:val="003C30D9"/>
    <w:rsid w:val="003C3290"/>
    <w:rsid w:val="003C6664"/>
    <w:rsid w:val="003C694F"/>
    <w:rsid w:val="003D122B"/>
    <w:rsid w:val="003D1748"/>
    <w:rsid w:val="003D1CE8"/>
    <w:rsid w:val="003D4C92"/>
    <w:rsid w:val="003D59B2"/>
    <w:rsid w:val="003E00B0"/>
    <w:rsid w:val="003E04C7"/>
    <w:rsid w:val="003E052E"/>
    <w:rsid w:val="003E1F1C"/>
    <w:rsid w:val="003E1F87"/>
    <w:rsid w:val="003E3445"/>
    <w:rsid w:val="003E3617"/>
    <w:rsid w:val="003E3B3B"/>
    <w:rsid w:val="003E3D56"/>
    <w:rsid w:val="003E4487"/>
    <w:rsid w:val="003E49CE"/>
    <w:rsid w:val="003E562E"/>
    <w:rsid w:val="003E5BE4"/>
    <w:rsid w:val="003E6415"/>
    <w:rsid w:val="003E660D"/>
    <w:rsid w:val="003F2E54"/>
    <w:rsid w:val="003F457A"/>
    <w:rsid w:val="00401F41"/>
    <w:rsid w:val="004023E9"/>
    <w:rsid w:val="004030DD"/>
    <w:rsid w:val="00403396"/>
    <w:rsid w:val="00403E26"/>
    <w:rsid w:val="004041BF"/>
    <w:rsid w:val="00406438"/>
    <w:rsid w:val="004067CA"/>
    <w:rsid w:val="00406BDF"/>
    <w:rsid w:val="00407C07"/>
    <w:rsid w:val="00410937"/>
    <w:rsid w:val="0041219A"/>
    <w:rsid w:val="00416C4E"/>
    <w:rsid w:val="00416E30"/>
    <w:rsid w:val="004175F3"/>
    <w:rsid w:val="00417EF9"/>
    <w:rsid w:val="00420B4E"/>
    <w:rsid w:val="0042125C"/>
    <w:rsid w:val="00421507"/>
    <w:rsid w:val="004227A8"/>
    <w:rsid w:val="00422CDD"/>
    <w:rsid w:val="00422FB0"/>
    <w:rsid w:val="00423CBB"/>
    <w:rsid w:val="00425369"/>
    <w:rsid w:val="004261CB"/>
    <w:rsid w:val="00427E6E"/>
    <w:rsid w:val="004300FB"/>
    <w:rsid w:val="00432C48"/>
    <w:rsid w:val="00432FAF"/>
    <w:rsid w:val="00432FE1"/>
    <w:rsid w:val="00433561"/>
    <w:rsid w:val="00433CB8"/>
    <w:rsid w:val="00433D1F"/>
    <w:rsid w:val="00434990"/>
    <w:rsid w:val="004369DF"/>
    <w:rsid w:val="00437690"/>
    <w:rsid w:val="0044065E"/>
    <w:rsid w:val="004429EC"/>
    <w:rsid w:val="00442E42"/>
    <w:rsid w:val="00443E40"/>
    <w:rsid w:val="00447061"/>
    <w:rsid w:val="0044766F"/>
    <w:rsid w:val="004524C6"/>
    <w:rsid w:val="00453067"/>
    <w:rsid w:val="0045515F"/>
    <w:rsid w:val="004557EB"/>
    <w:rsid w:val="00456A90"/>
    <w:rsid w:val="004579A8"/>
    <w:rsid w:val="0046068B"/>
    <w:rsid w:val="004612E5"/>
    <w:rsid w:val="00462359"/>
    <w:rsid w:val="00464822"/>
    <w:rsid w:val="00464DBB"/>
    <w:rsid w:val="0046588E"/>
    <w:rsid w:val="00467AAE"/>
    <w:rsid w:val="00467BEF"/>
    <w:rsid w:val="0047021F"/>
    <w:rsid w:val="004762D5"/>
    <w:rsid w:val="00476D4F"/>
    <w:rsid w:val="0048145F"/>
    <w:rsid w:val="0048178B"/>
    <w:rsid w:val="00485A31"/>
    <w:rsid w:val="0049031D"/>
    <w:rsid w:val="00491D52"/>
    <w:rsid w:val="004941C9"/>
    <w:rsid w:val="0049427F"/>
    <w:rsid w:val="00495018"/>
    <w:rsid w:val="0049578A"/>
    <w:rsid w:val="00495C07"/>
    <w:rsid w:val="00495E0F"/>
    <w:rsid w:val="004979CC"/>
    <w:rsid w:val="004A0F98"/>
    <w:rsid w:val="004A1501"/>
    <w:rsid w:val="004A2044"/>
    <w:rsid w:val="004A31CC"/>
    <w:rsid w:val="004A51B8"/>
    <w:rsid w:val="004A66D9"/>
    <w:rsid w:val="004A78BE"/>
    <w:rsid w:val="004A7F49"/>
    <w:rsid w:val="004B0482"/>
    <w:rsid w:val="004B0C13"/>
    <w:rsid w:val="004B2C82"/>
    <w:rsid w:val="004B3FAF"/>
    <w:rsid w:val="004B48B6"/>
    <w:rsid w:val="004B4CC5"/>
    <w:rsid w:val="004B53C0"/>
    <w:rsid w:val="004B57F7"/>
    <w:rsid w:val="004B7E30"/>
    <w:rsid w:val="004C0587"/>
    <w:rsid w:val="004C13F4"/>
    <w:rsid w:val="004C1FB4"/>
    <w:rsid w:val="004C30FF"/>
    <w:rsid w:val="004C55FE"/>
    <w:rsid w:val="004C69D3"/>
    <w:rsid w:val="004C6EE8"/>
    <w:rsid w:val="004D0501"/>
    <w:rsid w:val="004D0D44"/>
    <w:rsid w:val="004D15B0"/>
    <w:rsid w:val="004D4581"/>
    <w:rsid w:val="004D5752"/>
    <w:rsid w:val="004D6A62"/>
    <w:rsid w:val="004D728C"/>
    <w:rsid w:val="004D7374"/>
    <w:rsid w:val="004E37FF"/>
    <w:rsid w:val="004E4B7E"/>
    <w:rsid w:val="004E7DF6"/>
    <w:rsid w:val="004F1AAF"/>
    <w:rsid w:val="004F2F1F"/>
    <w:rsid w:val="004F496C"/>
    <w:rsid w:val="004F5CB2"/>
    <w:rsid w:val="004F74C9"/>
    <w:rsid w:val="004F7CA0"/>
    <w:rsid w:val="004F7E3B"/>
    <w:rsid w:val="00501EF5"/>
    <w:rsid w:val="005026AB"/>
    <w:rsid w:val="005038EB"/>
    <w:rsid w:val="00503A35"/>
    <w:rsid w:val="0050440E"/>
    <w:rsid w:val="00504B06"/>
    <w:rsid w:val="00504D28"/>
    <w:rsid w:val="00505787"/>
    <w:rsid w:val="005062F1"/>
    <w:rsid w:val="00506DBB"/>
    <w:rsid w:val="005071AA"/>
    <w:rsid w:val="00507C7A"/>
    <w:rsid w:val="00511050"/>
    <w:rsid w:val="00512F0D"/>
    <w:rsid w:val="00513107"/>
    <w:rsid w:val="0051337F"/>
    <w:rsid w:val="00514768"/>
    <w:rsid w:val="00515AF6"/>
    <w:rsid w:val="0052058A"/>
    <w:rsid w:val="00521823"/>
    <w:rsid w:val="00523434"/>
    <w:rsid w:val="005252A4"/>
    <w:rsid w:val="00525B26"/>
    <w:rsid w:val="0053046F"/>
    <w:rsid w:val="00533581"/>
    <w:rsid w:val="005341F1"/>
    <w:rsid w:val="00534D96"/>
    <w:rsid w:val="005352CC"/>
    <w:rsid w:val="005372C5"/>
    <w:rsid w:val="005377BE"/>
    <w:rsid w:val="0054188A"/>
    <w:rsid w:val="0054218B"/>
    <w:rsid w:val="00542408"/>
    <w:rsid w:val="005431A4"/>
    <w:rsid w:val="00543766"/>
    <w:rsid w:val="0054461B"/>
    <w:rsid w:val="0055121D"/>
    <w:rsid w:val="0055182D"/>
    <w:rsid w:val="00552864"/>
    <w:rsid w:val="005542FE"/>
    <w:rsid w:val="00554B4B"/>
    <w:rsid w:val="00555727"/>
    <w:rsid w:val="00556CEF"/>
    <w:rsid w:val="0055730E"/>
    <w:rsid w:val="00557DE7"/>
    <w:rsid w:val="00560EAF"/>
    <w:rsid w:val="0056273F"/>
    <w:rsid w:val="00562786"/>
    <w:rsid w:val="005635FE"/>
    <w:rsid w:val="00563A08"/>
    <w:rsid w:val="005642B0"/>
    <w:rsid w:val="00564753"/>
    <w:rsid w:val="005647DA"/>
    <w:rsid w:val="00565181"/>
    <w:rsid w:val="00565E48"/>
    <w:rsid w:val="00570144"/>
    <w:rsid w:val="0057030F"/>
    <w:rsid w:val="005704F9"/>
    <w:rsid w:val="005724FC"/>
    <w:rsid w:val="00572A66"/>
    <w:rsid w:val="00572DED"/>
    <w:rsid w:val="00574982"/>
    <w:rsid w:val="0057644E"/>
    <w:rsid w:val="005804D9"/>
    <w:rsid w:val="00580695"/>
    <w:rsid w:val="00580B10"/>
    <w:rsid w:val="00581095"/>
    <w:rsid w:val="00581775"/>
    <w:rsid w:val="00581962"/>
    <w:rsid w:val="00581C8A"/>
    <w:rsid w:val="00582647"/>
    <w:rsid w:val="00583173"/>
    <w:rsid w:val="005859D8"/>
    <w:rsid w:val="005873BD"/>
    <w:rsid w:val="005901FA"/>
    <w:rsid w:val="00591F09"/>
    <w:rsid w:val="00592247"/>
    <w:rsid w:val="00592428"/>
    <w:rsid w:val="0059294E"/>
    <w:rsid w:val="00593AE8"/>
    <w:rsid w:val="00593F7D"/>
    <w:rsid w:val="005942EF"/>
    <w:rsid w:val="00594D65"/>
    <w:rsid w:val="00595B81"/>
    <w:rsid w:val="005A14AF"/>
    <w:rsid w:val="005A24AE"/>
    <w:rsid w:val="005A2C78"/>
    <w:rsid w:val="005A370E"/>
    <w:rsid w:val="005A46A5"/>
    <w:rsid w:val="005A4D2A"/>
    <w:rsid w:val="005A6628"/>
    <w:rsid w:val="005A75AF"/>
    <w:rsid w:val="005A7749"/>
    <w:rsid w:val="005B0900"/>
    <w:rsid w:val="005B0C46"/>
    <w:rsid w:val="005B0DC3"/>
    <w:rsid w:val="005B1B3B"/>
    <w:rsid w:val="005B2152"/>
    <w:rsid w:val="005B2214"/>
    <w:rsid w:val="005B3BCB"/>
    <w:rsid w:val="005B4DA7"/>
    <w:rsid w:val="005B4F5A"/>
    <w:rsid w:val="005C0160"/>
    <w:rsid w:val="005C215C"/>
    <w:rsid w:val="005C32A4"/>
    <w:rsid w:val="005C35CB"/>
    <w:rsid w:val="005C4CC3"/>
    <w:rsid w:val="005C7096"/>
    <w:rsid w:val="005D00C0"/>
    <w:rsid w:val="005D0291"/>
    <w:rsid w:val="005D1171"/>
    <w:rsid w:val="005D1C5B"/>
    <w:rsid w:val="005D37C4"/>
    <w:rsid w:val="005D5320"/>
    <w:rsid w:val="005D611B"/>
    <w:rsid w:val="005D6287"/>
    <w:rsid w:val="005D7607"/>
    <w:rsid w:val="005D7924"/>
    <w:rsid w:val="005E09E0"/>
    <w:rsid w:val="005E674B"/>
    <w:rsid w:val="005E79E0"/>
    <w:rsid w:val="005E7D68"/>
    <w:rsid w:val="005F1500"/>
    <w:rsid w:val="005F1924"/>
    <w:rsid w:val="005F2BAB"/>
    <w:rsid w:val="005F2DD3"/>
    <w:rsid w:val="005F3F39"/>
    <w:rsid w:val="005F468D"/>
    <w:rsid w:val="005F4718"/>
    <w:rsid w:val="005F6673"/>
    <w:rsid w:val="005F7296"/>
    <w:rsid w:val="005F7C3C"/>
    <w:rsid w:val="005F7FE2"/>
    <w:rsid w:val="006005AB"/>
    <w:rsid w:val="00600CBA"/>
    <w:rsid w:val="00601526"/>
    <w:rsid w:val="006020F3"/>
    <w:rsid w:val="006072C0"/>
    <w:rsid w:val="00607AFC"/>
    <w:rsid w:val="006104DD"/>
    <w:rsid w:val="00611D6C"/>
    <w:rsid w:val="00612B4F"/>
    <w:rsid w:val="006152B1"/>
    <w:rsid w:val="00621EF1"/>
    <w:rsid w:val="00622800"/>
    <w:rsid w:val="00623995"/>
    <w:rsid w:val="00623EF3"/>
    <w:rsid w:val="00624E77"/>
    <w:rsid w:val="00625A16"/>
    <w:rsid w:val="00626747"/>
    <w:rsid w:val="00627A25"/>
    <w:rsid w:val="00627E14"/>
    <w:rsid w:val="00630426"/>
    <w:rsid w:val="006328C3"/>
    <w:rsid w:val="006330CD"/>
    <w:rsid w:val="006374E6"/>
    <w:rsid w:val="00637E5F"/>
    <w:rsid w:val="006407E4"/>
    <w:rsid w:val="006422CD"/>
    <w:rsid w:val="006433EB"/>
    <w:rsid w:val="00643908"/>
    <w:rsid w:val="00643D2B"/>
    <w:rsid w:val="00644B09"/>
    <w:rsid w:val="00647C42"/>
    <w:rsid w:val="00647E47"/>
    <w:rsid w:val="00650026"/>
    <w:rsid w:val="00651256"/>
    <w:rsid w:val="006517E4"/>
    <w:rsid w:val="006518E7"/>
    <w:rsid w:val="006525FD"/>
    <w:rsid w:val="0065442A"/>
    <w:rsid w:val="00655EA2"/>
    <w:rsid w:val="00655F59"/>
    <w:rsid w:val="006570C3"/>
    <w:rsid w:val="006607A4"/>
    <w:rsid w:val="00661F0D"/>
    <w:rsid w:val="0066476A"/>
    <w:rsid w:val="006648AB"/>
    <w:rsid w:val="00664B34"/>
    <w:rsid w:val="00665EFE"/>
    <w:rsid w:val="00666075"/>
    <w:rsid w:val="00666D09"/>
    <w:rsid w:val="00670213"/>
    <w:rsid w:val="00670E97"/>
    <w:rsid w:val="0067149F"/>
    <w:rsid w:val="00671707"/>
    <w:rsid w:val="0067386D"/>
    <w:rsid w:val="006765CD"/>
    <w:rsid w:val="006778B4"/>
    <w:rsid w:val="006804ED"/>
    <w:rsid w:val="00681989"/>
    <w:rsid w:val="006825FC"/>
    <w:rsid w:val="0068620F"/>
    <w:rsid w:val="00692C3F"/>
    <w:rsid w:val="00693230"/>
    <w:rsid w:val="00694DFF"/>
    <w:rsid w:val="006962D1"/>
    <w:rsid w:val="006A2473"/>
    <w:rsid w:val="006A24F9"/>
    <w:rsid w:val="006A3A19"/>
    <w:rsid w:val="006A44A2"/>
    <w:rsid w:val="006A47EF"/>
    <w:rsid w:val="006A4847"/>
    <w:rsid w:val="006A574F"/>
    <w:rsid w:val="006A6EA7"/>
    <w:rsid w:val="006A748E"/>
    <w:rsid w:val="006B0D84"/>
    <w:rsid w:val="006B1EDF"/>
    <w:rsid w:val="006B2BE0"/>
    <w:rsid w:val="006B61DC"/>
    <w:rsid w:val="006B7A45"/>
    <w:rsid w:val="006B7CA9"/>
    <w:rsid w:val="006C1667"/>
    <w:rsid w:val="006C45F9"/>
    <w:rsid w:val="006C5412"/>
    <w:rsid w:val="006C63D9"/>
    <w:rsid w:val="006D0E85"/>
    <w:rsid w:val="006D26B6"/>
    <w:rsid w:val="006D500F"/>
    <w:rsid w:val="006D5D25"/>
    <w:rsid w:val="006D77E6"/>
    <w:rsid w:val="006D7BE0"/>
    <w:rsid w:val="006E0687"/>
    <w:rsid w:val="006E29FD"/>
    <w:rsid w:val="006E2B69"/>
    <w:rsid w:val="006E307E"/>
    <w:rsid w:val="006E420E"/>
    <w:rsid w:val="006E4605"/>
    <w:rsid w:val="006E47A9"/>
    <w:rsid w:val="006E51BA"/>
    <w:rsid w:val="006E5C00"/>
    <w:rsid w:val="006E663C"/>
    <w:rsid w:val="006E6DF3"/>
    <w:rsid w:val="006E6E5B"/>
    <w:rsid w:val="006E6EF5"/>
    <w:rsid w:val="006E7A9B"/>
    <w:rsid w:val="006F0D77"/>
    <w:rsid w:val="006F1B4B"/>
    <w:rsid w:val="006F1FC4"/>
    <w:rsid w:val="006F2F46"/>
    <w:rsid w:val="006F37D6"/>
    <w:rsid w:val="006F59EF"/>
    <w:rsid w:val="006F674D"/>
    <w:rsid w:val="00701858"/>
    <w:rsid w:val="0070194D"/>
    <w:rsid w:val="00703334"/>
    <w:rsid w:val="007049E4"/>
    <w:rsid w:val="007054CB"/>
    <w:rsid w:val="007062CD"/>
    <w:rsid w:val="0070692E"/>
    <w:rsid w:val="007071AB"/>
    <w:rsid w:val="00707B96"/>
    <w:rsid w:val="00707EA5"/>
    <w:rsid w:val="007129C3"/>
    <w:rsid w:val="00712D0F"/>
    <w:rsid w:val="00714B09"/>
    <w:rsid w:val="007158B0"/>
    <w:rsid w:val="00715B0C"/>
    <w:rsid w:val="0071743E"/>
    <w:rsid w:val="007177BA"/>
    <w:rsid w:val="007202E9"/>
    <w:rsid w:val="00720995"/>
    <w:rsid w:val="00720EFD"/>
    <w:rsid w:val="0072130E"/>
    <w:rsid w:val="0072155B"/>
    <w:rsid w:val="00722C44"/>
    <w:rsid w:val="007243C3"/>
    <w:rsid w:val="0072440E"/>
    <w:rsid w:val="007305C0"/>
    <w:rsid w:val="00730745"/>
    <w:rsid w:val="007307D7"/>
    <w:rsid w:val="00730994"/>
    <w:rsid w:val="00730E60"/>
    <w:rsid w:val="00730EF2"/>
    <w:rsid w:val="00732923"/>
    <w:rsid w:val="00732A3B"/>
    <w:rsid w:val="00735757"/>
    <w:rsid w:val="00735E0A"/>
    <w:rsid w:val="00736205"/>
    <w:rsid w:val="007363B7"/>
    <w:rsid w:val="007369EA"/>
    <w:rsid w:val="0073755B"/>
    <w:rsid w:val="007378AC"/>
    <w:rsid w:val="00740008"/>
    <w:rsid w:val="0074266B"/>
    <w:rsid w:val="00743D3B"/>
    <w:rsid w:val="007452C1"/>
    <w:rsid w:val="0074702E"/>
    <w:rsid w:val="007506E5"/>
    <w:rsid w:val="0075145A"/>
    <w:rsid w:val="00752026"/>
    <w:rsid w:val="0075273B"/>
    <w:rsid w:val="0075421E"/>
    <w:rsid w:val="007560B4"/>
    <w:rsid w:val="007562DC"/>
    <w:rsid w:val="00756361"/>
    <w:rsid w:val="007573A0"/>
    <w:rsid w:val="00761FAC"/>
    <w:rsid w:val="00763867"/>
    <w:rsid w:val="00765E99"/>
    <w:rsid w:val="00767318"/>
    <w:rsid w:val="00767DA7"/>
    <w:rsid w:val="0077016E"/>
    <w:rsid w:val="0077034B"/>
    <w:rsid w:val="00770498"/>
    <w:rsid w:val="00770771"/>
    <w:rsid w:val="00771D72"/>
    <w:rsid w:val="007726A2"/>
    <w:rsid w:val="00772F4E"/>
    <w:rsid w:val="007733B2"/>
    <w:rsid w:val="007740F2"/>
    <w:rsid w:val="007756E5"/>
    <w:rsid w:val="00776F41"/>
    <w:rsid w:val="0077798B"/>
    <w:rsid w:val="007806F8"/>
    <w:rsid w:val="007821CD"/>
    <w:rsid w:val="00783459"/>
    <w:rsid w:val="00783D8C"/>
    <w:rsid w:val="00783DFF"/>
    <w:rsid w:val="00784159"/>
    <w:rsid w:val="00784609"/>
    <w:rsid w:val="007868B2"/>
    <w:rsid w:val="00791085"/>
    <w:rsid w:val="007916A4"/>
    <w:rsid w:val="007924B3"/>
    <w:rsid w:val="0079270B"/>
    <w:rsid w:val="007956DD"/>
    <w:rsid w:val="007A0CE8"/>
    <w:rsid w:val="007A42DD"/>
    <w:rsid w:val="007A46AA"/>
    <w:rsid w:val="007A4EB9"/>
    <w:rsid w:val="007A5163"/>
    <w:rsid w:val="007A5216"/>
    <w:rsid w:val="007A54D7"/>
    <w:rsid w:val="007A6951"/>
    <w:rsid w:val="007A7B10"/>
    <w:rsid w:val="007B1F49"/>
    <w:rsid w:val="007B4906"/>
    <w:rsid w:val="007B5E44"/>
    <w:rsid w:val="007B7DDC"/>
    <w:rsid w:val="007C0688"/>
    <w:rsid w:val="007C29D2"/>
    <w:rsid w:val="007C4C04"/>
    <w:rsid w:val="007C4C5C"/>
    <w:rsid w:val="007C5FB4"/>
    <w:rsid w:val="007C735F"/>
    <w:rsid w:val="007D0036"/>
    <w:rsid w:val="007D08A0"/>
    <w:rsid w:val="007D63B9"/>
    <w:rsid w:val="007E15E9"/>
    <w:rsid w:val="007E31DC"/>
    <w:rsid w:val="007E456E"/>
    <w:rsid w:val="007E520F"/>
    <w:rsid w:val="007E67D8"/>
    <w:rsid w:val="007F037F"/>
    <w:rsid w:val="007F16B3"/>
    <w:rsid w:val="007F1A78"/>
    <w:rsid w:val="007F1C35"/>
    <w:rsid w:val="007F1DF1"/>
    <w:rsid w:val="007F206A"/>
    <w:rsid w:val="007F2B39"/>
    <w:rsid w:val="007F3FD6"/>
    <w:rsid w:val="007F434A"/>
    <w:rsid w:val="007F580B"/>
    <w:rsid w:val="007F62C6"/>
    <w:rsid w:val="007F63A9"/>
    <w:rsid w:val="007F69AF"/>
    <w:rsid w:val="00800242"/>
    <w:rsid w:val="008006F8"/>
    <w:rsid w:val="00800C8A"/>
    <w:rsid w:val="00801EFE"/>
    <w:rsid w:val="008026A7"/>
    <w:rsid w:val="00803699"/>
    <w:rsid w:val="00804F3F"/>
    <w:rsid w:val="008115EA"/>
    <w:rsid w:val="00811906"/>
    <w:rsid w:val="00813974"/>
    <w:rsid w:val="008155E0"/>
    <w:rsid w:val="00820390"/>
    <w:rsid w:val="008203BE"/>
    <w:rsid w:val="00821608"/>
    <w:rsid w:val="00821A17"/>
    <w:rsid w:val="008225C8"/>
    <w:rsid w:val="008227F9"/>
    <w:rsid w:val="008236AA"/>
    <w:rsid w:val="0082606F"/>
    <w:rsid w:val="00827087"/>
    <w:rsid w:val="00827B27"/>
    <w:rsid w:val="00827E70"/>
    <w:rsid w:val="008306EC"/>
    <w:rsid w:val="00831679"/>
    <w:rsid w:val="00831EA5"/>
    <w:rsid w:val="0083286B"/>
    <w:rsid w:val="0083350E"/>
    <w:rsid w:val="008338D2"/>
    <w:rsid w:val="00833C3E"/>
    <w:rsid w:val="00835148"/>
    <w:rsid w:val="00835D7A"/>
    <w:rsid w:val="0083638A"/>
    <w:rsid w:val="00836C96"/>
    <w:rsid w:val="00837F19"/>
    <w:rsid w:val="00840F8C"/>
    <w:rsid w:val="008418A1"/>
    <w:rsid w:val="00841BA6"/>
    <w:rsid w:val="00841E98"/>
    <w:rsid w:val="00842051"/>
    <w:rsid w:val="0084370A"/>
    <w:rsid w:val="008455BC"/>
    <w:rsid w:val="00846817"/>
    <w:rsid w:val="0084711E"/>
    <w:rsid w:val="0084748E"/>
    <w:rsid w:val="00847FD8"/>
    <w:rsid w:val="00850EA2"/>
    <w:rsid w:val="00850F6C"/>
    <w:rsid w:val="00855413"/>
    <w:rsid w:val="008559D6"/>
    <w:rsid w:val="00855F8A"/>
    <w:rsid w:val="008563CC"/>
    <w:rsid w:val="00861B35"/>
    <w:rsid w:val="008645B6"/>
    <w:rsid w:val="00866C88"/>
    <w:rsid w:val="00867B18"/>
    <w:rsid w:val="008705CA"/>
    <w:rsid w:val="00871CC9"/>
    <w:rsid w:val="0087209F"/>
    <w:rsid w:val="0087281D"/>
    <w:rsid w:val="00873B61"/>
    <w:rsid w:val="008775E2"/>
    <w:rsid w:val="008807E5"/>
    <w:rsid w:val="00880A4B"/>
    <w:rsid w:val="00880F85"/>
    <w:rsid w:val="00881339"/>
    <w:rsid w:val="00881B7A"/>
    <w:rsid w:val="00883F6E"/>
    <w:rsid w:val="00885924"/>
    <w:rsid w:val="00886022"/>
    <w:rsid w:val="00886DA3"/>
    <w:rsid w:val="0089204D"/>
    <w:rsid w:val="00893D14"/>
    <w:rsid w:val="00894956"/>
    <w:rsid w:val="00896AAC"/>
    <w:rsid w:val="008976DD"/>
    <w:rsid w:val="008A03C3"/>
    <w:rsid w:val="008A0AB1"/>
    <w:rsid w:val="008A0B9C"/>
    <w:rsid w:val="008A0E05"/>
    <w:rsid w:val="008A39FE"/>
    <w:rsid w:val="008A4C5A"/>
    <w:rsid w:val="008A5E05"/>
    <w:rsid w:val="008A6110"/>
    <w:rsid w:val="008A790B"/>
    <w:rsid w:val="008B0A64"/>
    <w:rsid w:val="008B13E8"/>
    <w:rsid w:val="008B2775"/>
    <w:rsid w:val="008B2F88"/>
    <w:rsid w:val="008B38A7"/>
    <w:rsid w:val="008B4897"/>
    <w:rsid w:val="008B58BC"/>
    <w:rsid w:val="008B5C25"/>
    <w:rsid w:val="008B745C"/>
    <w:rsid w:val="008C03C4"/>
    <w:rsid w:val="008C0590"/>
    <w:rsid w:val="008C1E45"/>
    <w:rsid w:val="008C2E4A"/>
    <w:rsid w:val="008C389D"/>
    <w:rsid w:val="008C3D56"/>
    <w:rsid w:val="008D0471"/>
    <w:rsid w:val="008D3DB1"/>
    <w:rsid w:val="008D6285"/>
    <w:rsid w:val="008D6AFE"/>
    <w:rsid w:val="008D6F38"/>
    <w:rsid w:val="008E16A1"/>
    <w:rsid w:val="008E1C29"/>
    <w:rsid w:val="008E2208"/>
    <w:rsid w:val="008E229A"/>
    <w:rsid w:val="008E2AED"/>
    <w:rsid w:val="008E2B89"/>
    <w:rsid w:val="008E2F7D"/>
    <w:rsid w:val="008E361C"/>
    <w:rsid w:val="008E3B17"/>
    <w:rsid w:val="008E638C"/>
    <w:rsid w:val="008F0311"/>
    <w:rsid w:val="008F18EB"/>
    <w:rsid w:val="008F4205"/>
    <w:rsid w:val="008F4BC7"/>
    <w:rsid w:val="008F5D19"/>
    <w:rsid w:val="00902EEA"/>
    <w:rsid w:val="00904E63"/>
    <w:rsid w:val="00905155"/>
    <w:rsid w:val="00905C8A"/>
    <w:rsid w:val="009069B0"/>
    <w:rsid w:val="0091026D"/>
    <w:rsid w:val="00910652"/>
    <w:rsid w:val="00912C88"/>
    <w:rsid w:val="00913FE0"/>
    <w:rsid w:val="00917C39"/>
    <w:rsid w:val="00920563"/>
    <w:rsid w:val="00920647"/>
    <w:rsid w:val="00922847"/>
    <w:rsid w:val="009231C0"/>
    <w:rsid w:val="00923D44"/>
    <w:rsid w:val="009258E7"/>
    <w:rsid w:val="009261F5"/>
    <w:rsid w:val="00926D22"/>
    <w:rsid w:val="00927BDF"/>
    <w:rsid w:val="0093142C"/>
    <w:rsid w:val="00932FB1"/>
    <w:rsid w:val="00933466"/>
    <w:rsid w:val="009340C2"/>
    <w:rsid w:val="009351C1"/>
    <w:rsid w:val="00935891"/>
    <w:rsid w:val="00935A2B"/>
    <w:rsid w:val="00936287"/>
    <w:rsid w:val="00937877"/>
    <w:rsid w:val="00941B96"/>
    <w:rsid w:val="0094269D"/>
    <w:rsid w:val="00943E38"/>
    <w:rsid w:val="009445D0"/>
    <w:rsid w:val="00945295"/>
    <w:rsid w:val="009465DF"/>
    <w:rsid w:val="00947CD5"/>
    <w:rsid w:val="009501E3"/>
    <w:rsid w:val="00950768"/>
    <w:rsid w:val="0095079B"/>
    <w:rsid w:val="00951F17"/>
    <w:rsid w:val="00952369"/>
    <w:rsid w:val="00952CC9"/>
    <w:rsid w:val="00952E91"/>
    <w:rsid w:val="0095336B"/>
    <w:rsid w:val="00954ECC"/>
    <w:rsid w:val="00954F27"/>
    <w:rsid w:val="0095545F"/>
    <w:rsid w:val="00956160"/>
    <w:rsid w:val="00957381"/>
    <w:rsid w:val="00957510"/>
    <w:rsid w:val="00957E97"/>
    <w:rsid w:val="00960CF8"/>
    <w:rsid w:val="00961D69"/>
    <w:rsid w:val="00964333"/>
    <w:rsid w:val="00965C33"/>
    <w:rsid w:val="009669B9"/>
    <w:rsid w:val="0096708C"/>
    <w:rsid w:val="00967F30"/>
    <w:rsid w:val="00970171"/>
    <w:rsid w:val="009714F7"/>
    <w:rsid w:val="00971723"/>
    <w:rsid w:val="00972EB2"/>
    <w:rsid w:val="00973FB4"/>
    <w:rsid w:val="009742A0"/>
    <w:rsid w:val="00974952"/>
    <w:rsid w:val="00974EA7"/>
    <w:rsid w:val="0097557B"/>
    <w:rsid w:val="0098042C"/>
    <w:rsid w:val="00980E31"/>
    <w:rsid w:val="009817FF"/>
    <w:rsid w:val="00982061"/>
    <w:rsid w:val="009821E8"/>
    <w:rsid w:val="00984BED"/>
    <w:rsid w:val="00985A01"/>
    <w:rsid w:val="0098743D"/>
    <w:rsid w:val="00990080"/>
    <w:rsid w:val="00990467"/>
    <w:rsid w:val="00995DF2"/>
    <w:rsid w:val="0099745C"/>
    <w:rsid w:val="00997629"/>
    <w:rsid w:val="009A0E52"/>
    <w:rsid w:val="009A1C87"/>
    <w:rsid w:val="009A20C0"/>
    <w:rsid w:val="009A21F6"/>
    <w:rsid w:val="009A30BB"/>
    <w:rsid w:val="009A5F71"/>
    <w:rsid w:val="009A652C"/>
    <w:rsid w:val="009A6DC4"/>
    <w:rsid w:val="009B0EC5"/>
    <w:rsid w:val="009B1EE3"/>
    <w:rsid w:val="009B2EE9"/>
    <w:rsid w:val="009B4161"/>
    <w:rsid w:val="009B4F16"/>
    <w:rsid w:val="009C0DE7"/>
    <w:rsid w:val="009C4D59"/>
    <w:rsid w:val="009C51F2"/>
    <w:rsid w:val="009C5373"/>
    <w:rsid w:val="009C62A3"/>
    <w:rsid w:val="009C6B75"/>
    <w:rsid w:val="009C764B"/>
    <w:rsid w:val="009C768F"/>
    <w:rsid w:val="009D02AB"/>
    <w:rsid w:val="009D08C3"/>
    <w:rsid w:val="009D0B04"/>
    <w:rsid w:val="009D2178"/>
    <w:rsid w:val="009D2E6A"/>
    <w:rsid w:val="009D3062"/>
    <w:rsid w:val="009D489B"/>
    <w:rsid w:val="009D6139"/>
    <w:rsid w:val="009D76BF"/>
    <w:rsid w:val="009E057C"/>
    <w:rsid w:val="009E104B"/>
    <w:rsid w:val="009E1D28"/>
    <w:rsid w:val="009E468D"/>
    <w:rsid w:val="009E51B4"/>
    <w:rsid w:val="009E6120"/>
    <w:rsid w:val="009E65D6"/>
    <w:rsid w:val="009E666D"/>
    <w:rsid w:val="009E716B"/>
    <w:rsid w:val="009E76CC"/>
    <w:rsid w:val="009E7738"/>
    <w:rsid w:val="009E7BE9"/>
    <w:rsid w:val="009E7EDB"/>
    <w:rsid w:val="009F3FC6"/>
    <w:rsid w:val="009F5688"/>
    <w:rsid w:val="009F5F37"/>
    <w:rsid w:val="00A00B3D"/>
    <w:rsid w:val="00A02041"/>
    <w:rsid w:val="00A03206"/>
    <w:rsid w:val="00A03FD1"/>
    <w:rsid w:val="00A04F48"/>
    <w:rsid w:val="00A052A9"/>
    <w:rsid w:val="00A0543C"/>
    <w:rsid w:val="00A05C1D"/>
    <w:rsid w:val="00A05E59"/>
    <w:rsid w:val="00A07A0E"/>
    <w:rsid w:val="00A07F7D"/>
    <w:rsid w:val="00A1094D"/>
    <w:rsid w:val="00A14C6C"/>
    <w:rsid w:val="00A14EFF"/>
    <w:rsid w:val="00A15EE1"/>
    <w:rsid w:val="00A163ED"/>
    <w:rsid w:val="00A200F4"/>
    <w:rsid w:val="00A20506"/>
    <w:rsid w:val="00A2110D"/>
    <w:rsid w:val="00A21EA0"/>
    <w:rsid w:val="00A24124"/>
    <w:rsid w:val="00A24B38"/>
    <w:rsid w:val="00A271A9"/>
    <w:rsid w:val="00A27D1F"/>
    <w:rsid w:val="00A30610"/>
    <w:rsid w:val="00A30B95"/>
    <w:rsid w:val="00A31477"/>
    <w:rsid w:val="00A316B5"/>
    <w:rsid w:val="00A31AE1"/>
    <w:rsid w:val="00A42233"/>
    <w:rsid w:val="00A422AE"/>
    <w:rsid w:val="00A43D2B"/>
    <w:rsid w:val="00A4461A"/>
    <w:rsid w:val="00A449EA"/>
    <w:rsid w:val="00A44F1A"/>
    <w:rsid w:val="00A464EB"/>
    <w:rsid w:val="00A46592"/>
    <w:rsid w:val="00A46C9D"/>
    <w:rsid w:val="00A47687"/>
    <w:rsid w:val="00A479A6"/>
    <w:rsid w:val="00A50559"/>
    <w:rsid w:val="00A50BFF"/>
    <w:rsid w:val="00A5108C"/>
    <w:rsid w:val="00A52F37"/>
    <w:rsid w:val="00A569CB"/>
    <w:rsid w:val="00A57BF9"/>
    <w:rsid w:val="00A60CE5"/>
    <w:rsid w:val="00A639EF"/>
    <w:rsid w:val="00A66A88"/>
    <w:rsid w:val="00A66D62"/>
    <w:rsid w:val="00A67AC2"/>
    <w:rsid w:val="00A706B0"/>
    <w:rsid w:val="00A71EAE"/>
    <w:rsid w:val="00A739B1"/>
    <w:rsid w:val="00A761CB"/>
    <w:rsid w:val="00A76E29"/>
    <w:rsid w:val="00A779BC"/>
    <w:rsid w:val="00A807D1"/>
    <w:rsid w:val="00A82E3E"/>
    <w:rsid w:val="00A839FE"/>
    <w:rsid w:val="00A84D7B"/>
    <w:rsid w:val="00A852E8"/>
    <w:rsid w:val="00A85F87"/>
    <w:rsid w:val="00A86F16"/>
    <w:rsid w:val="00A90A91"/>
    <w:rsid w:val="00A929B4"/>
    <w:rsid w:val="00A9412C"/>
    <w:rsid w:val="00A964CD"/>
    <w:rsid w:val="00A964DD"/>
    <w:rsid w:val="00A96549"/>
    <w:rsid w:val="00A96746"/>
    <w:rsid w:val="00A96BC2"/>
    <w:rsid w:val="00A97EB8"/>
    <w:rsid w:val="00AA084B"/>
    <w:rsid w:val="00AA146E"/>
    <w:rsid w:val="00AA2323"/>
    <w:rsid w:val="00AA3839"/>
    <w:rsid w:val="00AA46B0"/>
    <w:rsid w:val="00AA543E"/>
    <w:rsid w:val="00AA6B0C"/>
    <w:rsid w:val="00AB1678"/>
    <w:rsid w:val="00AB1AC4"/>
    <w:rsid w:val="00AB320D"/>
    <w:rsid w:val="00AB4A19"/>
    <w:rsid w:val="00AB526A"/>
    <w:rsid w:val="00AB7A1F"/>
    <w:rsid w:val="00AC04BA"/>
    <w:rsid w:val="00AC1BE3"/>
    <w:rsid w:val="00AC4A7E"/>
    <w:rsid w:val="00AC521A"/>
    <w:rsid w:val="00AC612F"/>
    <w:rsid w:val="00AC75BF"/>
    <w:rsid w:val="00AD126E"/>
    <w:rsid w:val="00AD18D0"/>
    <w:rsid w:val="00AD3D9A"/>
    <w:rsid w:val="00AD4497"/>
    <w:rsid w:val="00AD4BC2"/>
    <w:rsid w:val="00AD7718"/>
    <w:rsid w:val="00AE229D"/>
    <w:rsid w:val="00AE338B"/>
    <w:rsid w:val="00AE420A"/>
    <w:rsid w:val="00AE464C"/>
    <w:rsid w:val="00AE501F"/>
    <w:rsid w:val="00AE63A8"/>
    <w:rsid w:val="00AE6D27"/>
    <w:rsid w:val="00AE7233"/>
    <w:rsid w:val="00AF05B8"/>
    <w:rsid w:val="00AF0FB9"/>
    <w:rsid w:val="00AF183B"/>
    <w:rsid w:val="00AF2DA1"/>
    <w:rsid w:val="00AF35B5"/>
    <w:rsid w:val="00AF5A55"/>
    <w:rsid w:val="00AF5CA2"/>
    <w:rsid w:val="00B007AF"/>
    <w:rsid w:val="00B00E9D"/>
    <w:rsid w:val="00B01997"/>
    <w:rsid w:val="00B01BC0"/>
    <w:rsid w:val="00B02308"/>
    <w:rsid w:val="00B04741"/>
    <w:rsid w:val="00B04E47"/>
    <w:rsid w:val="00B060A8"/>
    <w:rsid w:val="00B0661D"/>
    <w:rsid w:val="00B068A1"/>
    <w:rsid w:val="00B07864"/>
    <w:rsid w:val="00B109A3"/>
    <w:rsid w:val="00B12E85"/>
    <w:rsid w:val="00B12FF5"/>
    <w:rsid w:val="00B15835"/>
    <w:rsid w:val="00B15C78"/>
    <w:rsid w:val="00B16BAD"/>
    <w:rsid w:val="00B20216"/>
    <w:rsid w:val="00B203DB"/>
    <w:rsid w:val="00B211DC"/>
    <w:rsid w:val="00B21A4C"/>
    <w:rsid w:val="00B24A56"/>
    <w:rsid w:val="00B2783C"/>
    <w:rsid w:val="00B27ACD"/>
    <w:rsid w:val="00B3054E"/>
    <w:rsid w:val="00B30B37"/>
    <w:rsid w:val="00B31162"/>
    <w:rsid w:val="00B32C22"/>
    <w:rsid w:val="00B333BC"/>
    <w:rsid w:val="00B33A5D"/>
    <w:rsid w:val="00B34FC5"/>
    <w:rsid w:val="00B354BD"/>
    <w:rsid w:val="00B35FF1"/>
    <w:rsid w:val="00B360CE"/>
    <w:rsid w:val="00B3651F"/>
    <w:rsid w:val="00B40027"/>
    <w:rsid w:val="00B4065B"/>
    <w:rsid w:val="00B40779"/>
    <w:rsid w:val="00B410AC"/>
    <w:rsid w:val="00B430ED"/>
    <w:rsid w:val="00B44052"/>
    <w:rsid w:val="00B44262"/>
    <w:rsid w:val="00B44D7B"/>
    <w:rsid w:val="00B4517C"/>
    <w:rsid w:val="00B46AB4"/>
    <w:rsid w:val="00B54679"/>
    <w:rsid w:val="00B54AE5"/>
    <w:rsid w:val="00B550D6"/>
    <w:rsid w:val="00B5612B"/>
    <w:rsid w:val="00B61BF9"/>
    <w:rsid w:val="00B6288B"/>
    <w:rsid w:val="00B63CAF"/>
    <w:rsid w:val="00B64F0F"/>
    <w:rsid w:val="00B65285"/>
    <w:rsid w:val="00B6543D"/>
    <w:rsid w:val="00B65DD3"/>
    <w:rsid w:val="00B666F6"/>
    <w:rsid w:val="00B67B61"/>
    <w:rsid w:val="00B67F4B"/>
    <w:rsid w:val="00B73BD3"/>
    <w:rsid w:val="00B74042"/>
    <w:rsid w:val="00B77CDC"/>
    <w:rsid w:val="00B80FB6"/>
    <w:rsid w:val="00B8123B"/>
    <w:rsid w:val="00B83545"/>
    <w:rsid w:val="00B85985"/>
    <w:rsid w:val="00B863F2"/>
    <w:rsid w:val="00B86BF1"/>
    <w:rsid w:val="00B90FFC"/>
    <w:rsid w:val="00B930A9"/>
    <w:rsid w:val="00B93603"/>
    <w:rsid w:val="00B94554"/>
    <w:rsid w:val="00B94B2E"/>
    <w:rsid w:val="00B9758F"/>
    <w:rsid w:val="00B97E51"/>
    <w:rsid w:val="00BA0310"/>
    <w:rsid w:val="00BA192B"/>
    <w:rsid w:val="00BA19EE"/>
    <w:rsid w:val="00BA32D5"/>
    <w:rsid w:val="00BA3453"/>
    <w:rsid w:val="00BA575C"/>
    <w:rsid w:val="00BA5ADC"/>
    <w:rsid w:val="00BA6134"/>
    <w:rsid w:val="00BA66D7"/>
    <w:rsid w:val="00BA68B2"/>
    <w:rsid w:val="00BA6C70"/>
    <w:rsid w:val="00BA6FC0"/>
    <w:rsid w:val="00BA7647"/>
    <w:rsid w:val="00BB0668"/>
    <w:rsid w:val="00BB1915"/>
    <w:rsid w:val="00BB1D25"/>
    <w:rsid w:val="00BB7ECD"/>
    <w:rsid w:val="00BC3567"/>
    <w:rsid w:val="00BC4C02"/>
    <w:rsid w:val="00BC595F"/>
    <w:rsid w:val="00BC59A8"/>
    <w:rsid w:val="00BC649B"/>
    <w:rsid w:val="00BC6B7A"/>
    <w:rsid w:val="00BC6C43"/>
    <w:rsid w:val="00BC6D41"/>
    <w:rsid w:val="00BD20A9"/>
    <w:rsid w:val="00BD4AA8"/>
    <w:rsid w:val="00BD4B64"/>
    <w:rsid w:val="00BD4D9C"/>
    <w:rsid w:val="00BD52C5"/>
    <w:rsid w:val="00BD60F6"/>
    <w:rsid w:val="00BE07B9"/>
    <w:rsid w:val="00BE0D73"/>
    <w:rsid w:val="00BE1EC8"/>
    <w:rsid w:val="00BE26AA"/>
    <w:rsid w:val="00BE3513"/>
    <w:rsid w:val="00BE67D6"/>
    <w:rsid w:val="00BF1D68"/>
    <w:rsid w:val="00BF3821"/>
    <w:rsid w:val="00BF3FC4"/>
    <w:rsid w:val="00BF4523"/>
    <w:rsid w:val="00BF688D"/>
    <w:rsid w:val="00BF7B25"/>
    <w:rsid w:val="00BF7C33"/>
    <w:rsid w:val="00C00E86"/>
    <w:rsid w:val="00C01E31"/>
    <w:rsid w:val="00C058C3"/>
    <w:rsid w:val="00C06969"/>
    <w:rsid w:val="00C06BAF"/>
    <w:rsid w:val="00C06BEF"/>
    <w:rsid w:val="00C06CE6"/>
    <w:rsid w:val="00C076B3"/>
    <w:rsid w:val="00C10BE8"/>
    <w:rsid w:val="00C203FE"/>
    <w:rsid w:val="00C212C8"/>
    <w:rsid w:val="00C2250A"/>
    <w:rsid w:val="00C22A0C"/>
    <w:rsid w:val="00C23D1C"/>
    <w:rsid w:val="00C26077"/>
    <w:rsid w:val="00C27FCA"/>
    <w:rsid w:val="00C3123B"/>
    <w:rsid w:val="00C3163E"/>
    <w:rsid w:val="00C31B5B"/>
    <w:rsid w:val="00C32EA5"/>
    <w:rsid w:val="00C33384"/>
    <w:rsid w:val="00C33407"/>
    <w:rsid w:val="00C34730"/>
    <w:rsid w:val="00C37DD6"/>
    <w:rsid w:val="00C40653"/>
    <w:rsid w:val="00C41AD0"/>
    <w:rsid w:val="00C43045"/>
    <w:rsid w:val="00C43C61"/>
    <w:rsid w:val="00C44B01"/>
    <w:rsid w:val="00C45456"/>
    <w:rsid w:val="00C4546B"/>
    <w:rsid w:val="00C475CB"/>
    <w:rsid w:val="00C47961"/>
    <w:rsid w:val="00C5088F"/>
    <w:rsid w:val="00C50C7B"/>
    <w:rsid w:val="00C542F1"/>
    <w:rsid w:val="00C55215"/>
    <w:rsid w:val="00C57381"/>
    <w:rsid w:val="00C57702"/>
    <w:rsid w:val="00C5796D"/>
    <w:rsid w:val="00C605D7"/>
    <w:rsid w:val="00C60626"/>
    <w:rsid w:val="00C611FE"/>
    <w:rsid w:val="00C613C0"/>
    <w:rsid w:val="00C62027"/>
    <w:rsid w:val="00C637A2"/>
    <w:rsid w:val="00C64BD0"/>
    <w:rsid w:val="00C65755"/>
    <w:rsid w:val="00C6629C"/>
    <w:rsid w:val="00C66380"/>
    <w:rsid w:val="00C67AD5"/>
    <w:rsid w:val="00C67EE1"/>
    <w:rsid w:val="00C73654"/>
    <w:rsid w:val="00C74FFD"/>
    <w:rsid w:val="00C76557"/>
    <w:rsid w:val="00C76B5A"/>
    <w:rsid w:val="00C76FA9"/>
    <w:rsid w:val="00C80520"/>
    <w:rsid w:val="00C81CAA"/>
    <w:rsid w:val="00C8286F"/>
    <w:rsid w:val="00C8312C"/>
    <w:rsid w:val="00C83675"/>
    <w:rsid w:val="00C86168"/>
    <w:rsid w:val="00C86B6D"/>
    <w:rsid w:val="00C90EBD"/>
    <w:rsid w:val="00C9637C"/>
    <w:rsid w:val="00C9767F"/>
    <w:rsid w:val="00C97B36"/>
    <w:rsid w:val="00C97BB0"/>
    <w:rsid w:val="00C97D48"/>
    <w:rsid w:val="00CA1C3A"/>
    <w:rsid w:val="00CA4B3C"/>
    <w:rsid w:val="00CA4CDC"/>
    <w:rsid w:val="00CA52BE"/>
    <w:rsid w:val="00CA7518"/>
    <w:rsid w:val="00CB02AE"/>
    <w:rsid w:val="00CB051A"/>
    <w:rsid w:val="00CB081B"/>
    <w:rsid w:val="00CB3D0A"/>
    <w:rsid w:val="00CB5117"/>
    <w:rsid w:val="00CB5BC3"/>
    <w:rsid w:val="00CB6A26"/>
    <w:rsid w:val="00CB6BAF"/>
    <w:rsid w:val="00CB7240"/>
    <w:rsid w:val="00CB78F8"/>
    <w:rsid w:val="00CC1BC8"/>
    <w:rsid w:val="00CC3087"/>
    <w:rsid w:val="00CC4BB6"/>
    <w:rsid w:val="00CC77C2"/>
    <w:rsid w:val="00CD0360"/>
    <w:rsid w:val="00CD1FBE"/>
    <w:rsid w:val="00CD2FF0"/>
    <w:rsid w:val="00CD32D5"/>
    <w:rsid w:val="00CD3A4D"/>
    <w:rsid w:val="00CD3CEF"/>
    <w:rsid w:val="00CD4433"/>
    <w:rsid w:val="00CD5B5D"/>
    <w:rsid w:val="00CD643C"/>
    <w:rsid w:val="00CD7B06"/>
    <w:rsid w:val="00CD7C39"/>
    <w:rsid w:val="00CD7D63"/>
    <w:rsid w:val="00CE00E9"/>
    <w:rsid w:val="00CE0B01"/>
    <w:rsid w:val="00CE118F"/>
    <w:rsid w:val="00CE19E5"/>
    <w:rsid w:val="00CE1A55"/>
    <w:rsid w:val="00CE339F"/>
    <w:rsid w:val="00CF1A56"/>
    <w:rsid w:val="00CF1F90"/>
    <w:rsid w:val="00CF2967"/>
    <w:rsid w:val="00CF4E77"/>
    <w:rsid w:val="00CF599F"/>
    <w:rsid w:val="00CF6021"/>
    <w:rsid w:val="00CF7A66"/>
    <w:rsid w:val="00D007B9"/>
    <w:rsid w:val="00D00D79"/>
    <w:rsid w:val="00D00F94"/>
    <w:rsid w:val="00D0272D"/>
    <w:rsid w:val="00D04EF1"/>
    <w:rsid w:val="00D05BD4"/>
    <w:rsid w:val="00D0694A"/>
    <w:rsid w:val="00D07622"/>
    <w:rsid w:val="00D11315"/>
    <w:rsid w:val="00D12490"/>
    <w:rsid w:val="00D124BD"/>
    <w:rsid w:val="00D14005"/>
    <w:rsid w:val="00D16DC8"/>
    <w:rsid w:val="00D206B8"/>
    <w:rsid w:val="00D20D36"/>
    <w:rsid w:val="00D217A0"/>
    <w:rsid w:val="00D2180A"/>
    <w:rsid w:val="00D22A5B"/>
    <w:rsid w:val="00D23489"/>
    <w:rsid w:val="00D27F75"/>
    <w:rsid w:val="00D33237"/>
    <w:rsid w:val="00D33597"/>
    <w:rsid w:val="00D351D5"/>
    <w:rsid w:val="00D37030"/>
    <w:rsid w:val="00D406A4"/>
    <w:rsid w:val="00D412C0"/>
    <w:rsid w:val="00D423CF"/>
    <w:rsid w:val="00D4266A"/>
    <w:rsid w:val="00D44841"/>
    <w:rsid w:val="00D4671B"/>
    <w:rsid w:val="00D55613"/>
    <w:rsid w:val="00D557D1"/>
    <w:rsid w:val="00D57511"/>
    <w:rsid w:val="00D5798A"/>
    <w:rsid w:val="00D6028D"/>
    <w:rsid w:val="00D60574"/>
    <w:rsid w:val="00D626D7"/>
    <w:rsid w:val="00D629B0"/>
    <w:rsid w:val="00D63EEE"/>
    <w:rsid w:val="00D64566"/>
    <w:rsid w:val="00D6593E"/>
    <w:rsid w:val="00D66315"/>
    <w:rsid w:val="00D7191F"/>
    <w:rsid w:val="00D74163"/>
    <w:rsid w:val="00D74FCE"/>
    <w:rsid w:val="00D75C53"/>
    <w:rsid w:val="00D75E93"/>
    <w:rsid w:val="00D77287"/>
    <w:rsid w:val="00D7744B"/>
    <w:rsid w:val="00D77687"/>
    <w:rsid w:val="00D77D6C"/>
    <w:rsid w:val="00D80634"/>
    <w:rsid w:val="00D82224"/>
    <w:rsid w:val="00D82CC9"/>
    <w:rsid w:val="00D8314A"/>
    <w:rsid w:val="00D84BE5"/>
    <w:rsid w:val="00D85C6F"/>
    <w:rsid w:val="00D87AA3"/>
    <w:rsid w:val="00D87C92"/>
    <w:rsid w:val="00D90C5B"/>
    <w:rsid w:val="00D921F6"/>
    <w:rsid w:val="00D93D36"/>
    <w:rsid w:val="00D9532C"/>
    <w:rsid w:val="00D96939"/>
    <w:rsid w:val="00DA07FC"/>
    <w:rsid w:val="00DA0A1C"/>
    <w:rsid w:val="00DA0CAD"/>
    <w:rsid w:val="00DA1DAE"/>
    <w:rsid w:val="00DA3B0E"/>
    <w:rsid w:val="00DA3EFB"/>
    <w:rsid w:val="00DB1F0B"/>
    <w:rsid w:val="00DB558D"/>
    <w:rsid w:val="00DB5B41"/>
    <w:rsid w:val="00DC084E"/>
    <w:rsid w:val="00DC2329"/>
    <w:rsid w:val="00DC233E"/>
    <w:rsid w:val="00DC2F2F"/>
    <w:rsid w:val="00DC3682"/>
    <w:rsid w:val="00DC489D"/>
    <w:rsid w:val="00DC5AB0"/>
    <w:rsid w:val="00DC68CE"/>
    <w:rsid w:val="00DD004D"/>
    <w:rsid w:val="00DD225E"/>
    <w:rsid w:val="00DD226B"/>
    <w:rsid w:val="00DD2A9A"/>
    <w:rsid w:val="00DD340E"/>
    <w:rsid w:val="00DD372A"/>
    <w:rsid w:val="00DD3D44"/>
    <w:rsid w:val="00DD3EEF"/>
    <w:rsid w:val="00DD58D4"/>
    <w:rsid w:val="00DD7EF0"/>
    <w:rsid w:val="00DE099C"/>
    <w:rsid w:val="00DE1233"/>
    <w:rsid w:val="00DE1EF1"/>
    <w:rsid w:val="00DE2730"/>
    <w:rsid w:val="00DE3884"/>
    <w:rsid w:val="00DE3C23"/>
    <w:rsid w:val="00DE54D8"/>
    <w:rsid w:val="00DE5A16"/>
    <w:rsid w:val="00DE65B3"/>
    <w:rsid w:val="00DE6E09"/>
    <w:rsid w:val="00DE78E2"/>
    <w:rsid w:val="00DF0CE3"/>
    <w:rsid w:val="00DF101F"/>
    <w:rsid w:val="00DF2973"/>
    <w:rsid w:val="00DF365E"/>
    <w:rsid w:val="00DF3BE3"/>
    <w:rsid w:val="00DF4691"/>
    <w:rsid w:val="00DF5F9E"/>
    <w:rsid w:val="00DF6716"/>
    <w:rsid w:val="00DF6D88"/>
    <w:rsid w:val="00E01525"/>
    <w:rsid w:val="00E01BFB"/>
    <w:rsid w:val="00E01DA7"/>
    <w:rsid w:val="00E02644"/>
    <w:rsid w:val="00E0317F"/>
    <w:rsid w:val="00E038D4"/>
    <w:rsid w:val="00E040FE"/>
    <w:rsid w:val="00E041E9"/>
    <w:rsid w:val="00E06441"/>
    <w:rsid w:val="00E066C1"/>
    <w:rsid w:val="00E07557"/>
    <w:rsid w:val="00E10548"/>
    <w:rsid w:val="00E106B0"/>
    <w:rsid w:val="00E10ADE"/>
    <w:rsid w:val="00E111EE"/>
    <w:rsid w:val="00E114EC"/>
    <w:rsid w:val="00E123B4"/>
    <w:rsid w:val="00E13963"/>
    <w:rsid w:val="00E14D69"/>
    <w:rsid w:val="00E14DA3"/>
    <w:rsid w:val="00E14DEB"/>
    <w:rsid w:val="00E14F3D"/>
    <w:rsid w:val="00E1784D"/>
    <w:rsid w:val="00E17914"/>
    <w:rsid w:val="00E23215"/>
    <w:rsid w:val="00E240C0"/>
    <w:rsid w:val="00E2710B"/>
    <w:rsid w:val="00E32490"/>
    <w:rsid w:val="00E337AA"/>
    <w:rsid w:val="00E33A5C"/>
    <w:rsid w:val="00E35A02"/>
    <w:rsid w:val="00E4081C"/>
    <w:rsid w:val="00E41078"/>
    <w:rsid w:val="00E412AE"/>
    <w:rsid w:val="00E42228"/>
    <w:rsid w:val="00E42CBA"/>
    <w:rsid w:val="00E43753"/>
    <w:rsid w:val="00E44749"/>
    <w:rsid w:val="00E44E4B"/>
    <w:rsid w:val="00E452EB"/>
    <w:rsid w:val="00E47098"/>
    <w:rsid w:val="00E5054F"/>
    <w:rsid w:val="00E50715"/>
    <w:rsid w:val="00E516EF"/>
    <w:rsid w:val="00E53627"/>
    <w:rsid w:val="00E54C04"/>
    <w:rsid w:val="00E54CEC"/>
    <w:rsid w:val="00E554BD"/>
    <w:rsid w:val="00E57FEE"/>
    <w:rsid w:val="00E615E5"/>
    <w:rsid w:val="00E61C00"/>
    <w:rsid w:val="00E624F1"/>
    <w:rsid w:val="00E638C5"/>
    <w:rsid w:val="00E651E2"/>
    <w:rsid w:val="00E6550B"/>
    <w:rsid w:val="00E66687"/>
    <w:rsid w:val="00E67FBE"/>
    <w:rsid w:val="00E71D13"/>
    <w:rsid w:val="00E7278C"/>
    <w:rsid w:val="00E733C0"/>
    <w:rsid w:val="00E73E16"/>
    <w:rsid w:val="00E74CB6"/>
    <w:rsid w:val="00E769BA"/>
    <w:rsid w:val="00E77251"/>
    <w:rsid w:val="00E778C6"/>
    <w:rsid w:val="00E804FE"/>
    <w:rsid w:val="00E819EF"/>
    <w:rsid w:val="00E8248B"/>
    <w:rsid w:val="00E826AB"/>
    <w:rsid w:val="00E82BE6"/>
    <w:rsid w:val="00E8587B"/>
    <w:rsid w:val="00E869C0"/>
    <w:rsid w:val="00E87CA8"/>
    <w:rsid w:val="00E909C5"/>
    <w:rsid w:val="00E93930"/>
    <w:rsid w:val="00E94523"/>
    <w:rsid w:val="00E955DF"/>
    <w:rsid w:val="00E95D4E"/>
    <w:rsid w:val="00EA10D9"/>
    <w:rsid w:val="00EA1FDA"/>
    <w:rsid w:val="00EA2897"/>
    <w:rsid w:val="00EA4E10"/>
    <w:rsid w:val="00EA53D3"/>
    <w:rsid w:val="00EA7B8E"/>
    <w:rsid w:val="00EB0818"/>
    <w:rsid w:val="00EB102F"/>
    <w:rsid w:val="00EB1439"/>
    <w:rsid w:val="00EB1612"/>
    <w:rsid w:val="00EB1983"/>
    <w:rsid w:val="00EB1B23"/>
    <w:rsid w:val="00EB3FEE"/>
    <w:rsid w:val="00EB70FD"/>
    <w:rsid w:val="00EC0030"/>
    <w:rsid w:val="00EC0B3C"/>
    <w:rsid w:val="00EC21B9"/>
    <w:rsid w:val="00EC2A31"/>
    <w:rsid w:val="00EC4B10"/>
    <w:rsid w:val="00EC50C5"/>
    <w:rsid w:val="00EC5117"/>
    <w:rsid w:val="00EC55F3"/>
    <w:rsid w:val="00EC79F7"/>
    <w:rsid w:val="00ED16AF"/>
    <w:rsid w:val="00ED193D"/>
    <w:rsid w:val="00ED247A"/>
    <w:rsid w:val="00ED2BA6"/>
    <w:rsid w:val="00ED626B"/>
    <w:rsid w:val="00ED7EDD"/>
    <w:rsid w:val="00ED7FAE"/>
    <w:rsid w:val="00EE1191"/>
    <w:rsid w:val="00EE2291"/>
    <w:rsid w:val="00EE297B"/>
    <w:rsid w:val="00EE3F92"/>
    <w:rsid w:val="00EE424B"/>
    <w:rsid w:val="00EE4458"/>
    <w:rsid w:val="00EE608E"/>
    <w:rsid w:val="00EF26F6"/>
    <w:rsid w:val="00EF3017"/>
    <w:rsid w:val="00EF40ED"/>
    <w:rsid w:val="00EF4E47"/>
    <w:rsid w:val="00EF51AB"/>
    <w:rsid w:val="00EF55DB"/>
    <w:rsid w:val="00F00330"/>
    <w:rsid w:val="00F004FF"/>
    <w:rsid w:val="00F007C0"/>
    <w:rsid w:val="00F00F43"/>
    <w:rsid w:val="00F01F73"/>
    <w:rsid w:val="00F022FB"/>
    <w:rsid w:val="00F03FD6"/>
    <w:rsid w:val="00F04FB8"/>
    <w:rsid w:val="00F05834"/>
    <w:rsid w:val="00F05CCF"/>
    <w:rsid w:val="00F05F95"/>
    <w:rsid w:val="00F0692E"/>
    <w:rsid w:val="00F06BD7"/>
    <w:rsid w:val="00F06E4E"/>
    <w:rsid w:val="00F106DF"/>
    <w:rsid w:val="00F121AB"/>
    <w:rsid w:val="00F12B1E"/>
    <w:rsid w:val="00F14FFA"/>
    <w:rsid w:val="00F15271"/>
    <w:rsid w:val="00F1730B"/>
    <w:rsid w:val="00F21D54"/>
    <w:rsid w:val="00F2205A"/>
    <w:rsid w:val="00F247E9"/>
    <w:rsid w:val="00F24F34"/>
    <w:rsid w:val="00F24F41"/>
    <w:rsid w:val="00F2505A"/>
    <w:rsid w:val="00F256C2"/>
    <w:rsid w:val="00F26836"/>
    <w:rsid w:val="00F272AE"/>
    <w:rsid w:val="00F31180"/>
    <w:rsid w:val="00F324DB"/>
    <w:rsid w:val="00F32511"/>
    <w:rsid w:val="00F32B9C"/>
    <w:rsid w:val="00F36B89"/>
    <w:rsid w:val="00F36FAB"/>
    <w:rsid w:val="00F4058C"/>
    <w:rsid w:val="00F421C9"/>
    <w:rsid w:val="00F44085"/>
    <w:rsid w:val="00F442A3"/>
    <w:rsid w:val="00F446AC"/>
    <w:rsid w:val="00F457C0"/>
    <w:rsid w:val="00F46705"/>
    <w:rsid w:val="00F46A48"/>
    <w:rsid w:val="00F50CEB"/>
    <w:rsid w:val="00F518DD"/>
    <w:rsid w:val="00F521E0"/>
    <w:rsid w:val="00F52DDB"/>
    <w:rsid w:val="00F5316B"/>
    <w:rsid w:val="00F538AD"/>
    <w:rsid w:val="00F54B57"/>
    <w:rsid w:val="00F54EA5"/>
    <w:rsid w:val="00F5503A"/>
    <w:rsid w:val="00F56492"/>
    <w:rsid w:val="00F60F35"/>
    <w:rsid w:val="00F6179F"/>
    <w:rsid w:val="00F626A2"/>
    <w:rsid w:val="00F64305"/>
    <w:rsid w:val="00F64B4E"/>
    <w:rsid w:val="00F65291"/>
    <w:rsid w:val="00F6534F"/>
    <w:rsid w:val="00F65764"/>
    <w:rsid w:val="00F65D93"/>
    <w:rsid w:val="00F663ED"/>
    <w:rsid w:val="00F66613"/>
    <w:rsid w:val="00F66C18"/>
    <w:rsid w:val="00F67905"/>
    <w:rsid w:val="00F67E72"/>
    <w:rsid w:val="00F70986"/>
    <w:rsid w:val="00F715F8"/>
    <w:rsid w:val="00F720CF"/>
    <w:rsid w:val="00F74105"/>
    <w:rsid w:val="00F742C8"/>
    <w:rsid w:val="00F7540C"/>
    <w:rsid w:val="00F77419"/>
    <w:rsid w:val="00F778B4"/>
    <w:rsid w:val="00F80653"/>
    <w:rsid w:val="00F80F87"/>
    <w:rsid w:val="00F83ABE"/>
    <w:rsid w:val="00F84C0E"/>
    <w:rsid w:val="00F85FB9"/>
    <w:rsid w:val="00F90142"/>
    <w:rsid w:val="00F9158E"/>
    <w:rsid w:val="00F94015"/>
    <w:rsid w:val="00F95728"/>
    <w:rsid w:val="00F9591C"/>
    <w:rsid w:val="00F95B11"/>
    <w:rsid w:val="00F9611F"/>
    <w:rsid w:val="00F96B14"/>
    <w:rsid w:val="00FA171D"/>
    <w:rsid w:val="00FA40D3"/>
    <w:rsid w:val="00FA410A"/>
    <w:rsid w:val="00FA4309"/>
    <w:rsid w:val="00FA43B2"/>
    <w:rsid w:val="00FA4C76"/>
    <w:rsid w:val="00FA5269"/>
    <w:rsid w:val="00FA637C"/>
    <w:rsid w:val="00FA7856"/>
    <w:rsid w:val="00FB053D"/>
    <w:rsid w:val="00FB0B6F"/>
    <w:rsid w:val="00FB1161"/>
    <w:rsid w:val="00FB223C"/>
    <w:rsid w:val="00FB2466"/>
    <w:rsid w:val="00FB2581"/>
    <w:rsid w:val="00FB436B"/>
    <w:rsid w:val="00FB5AC2"/>
    <w:rsid w:val="00FC0755"/>
    <w:rsid w:val="00FC16EE"/>
    <w:rsid w:val="00FC31CA"/>
    <w:rsid w:val="00FC3285"/>
    <w:rsid w:val="00FC3F04"/>
    <w:rsid w:val="00FC57E1"/>
    <w:rsid w:val="00FD32B4"/>
    <w:rsid w:val="00FD342A"/>
    <w:rsid w:val="00FD3C98"/>
    <w:rsid w:val="00FD4C2C"/>
    <w:rsid w:val="00FD4D40"/>
    <w:rsid w:val="00FD50B3"/>
    <w:rsid w:val="00FD53BD"/>
    <w:rsid w:val="00FD765D"/>
    <w:rsid w:val="00FD7986"/>
    <w:rsid w:val="00FE22A8"/>
    <w:rsid w:val="00FE251D"/>
    <w:rsid w:val="00FE29B9"/>
    <w:rsid w:val="00FE4EA5"/>
    <w:rsid w:val="00FE5293"/>
    <w:rsid w:val="00FE744E"/>
    <w:rsid w:val="00FE7A3A"/>
    <w:rsid w:val="00FE7CD9"/>
    <w:rsid w:val="00FF158E"/>
    <w:rsid w:val="00FF1E86"/>
    <w:rsid w:val="00FF26B8"/>
    <w:rsid w:val="00FF3047"/>
    <w:rsid w:val="00FF3ABE"/>
    <w:rsid w:val="00FF5072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1A4643CE"/>
  <w15:docId w15:val="{F1D1321E-CA83-4698-BCC5-EACDFCB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2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59"/>
  </w:style>
  <w:style w:type="paragraph" w:styleId="Footer">
    <w:name w:val="footer"/>
    <w:basedOn w:val="Normal"/>
    <w:link w:val="FooterChar"/>
    <w:uiPriority w:val="99"/>
    <w:unhideWhenUsed/>
    <w:rsid w:val="0012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59"/>
  </w:style>
  <w:style w:type="character" w:styleId="Hyperlink">
    <w:name w:val="Hyperlink"/>
    <w:basedOn w:val="DefaultParagraphFont"/>
    <w:uiPriority w:val="99"/>
    <w:unhideWhenUsed/>
    <w:rsid w:val="00E111E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carbon\user\kamurphy\KM%20Office%20Files\Annual%20Reports\Charts%20and%20Graphs\FY%202021\Charts%20&amp;%20Graphs%20Beneficiaries%20Add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carbon\user\kamurphy\KM%20Office%20Files\Annual%20Reports\Charts%20and%20Graphs\FY%202021\Charts%20&amp;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carbon\user\kamurphy\KM%20Office%20Files\Annual%20Reports\Charts%20and%20Graphs\FY%202021\Charts%20&amp;%20Graphs%20Beneficiaries%20Add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carbon\user\kamurphy\KM%20Office%20Files\Annual%20Reports\Charts%20and%20Graphs\FY%202021\2021%20FY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carbon\user\kamurphy\KM%20Office%20Files\Annual%20Reports\Charts%20and%20Graphs\FY%202021\2021%20FY%20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Notices</a:t>
            </a:r>
            <a:r>
              <a:rPr lang="en-US" b="1" baseline="0"/>
              <a:t> of Intent &amp; Complaints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Claims!$B$2:$B$3</c:f>
              <c:strCache>
                <c:ptCount val="2"/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Claims!$A$4:$A$20</c:f>
              <c:strCache>
                <c:ptCount val="17"/>
                <c:pt idx="0">
                  <c:v>Notices of Intent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7">
                  <c:v>Five Year Average</c:v>
                </c:pt>
                <c:pt idx="9">
                  <c:v>Complaints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6">
                  <c:v>Five Year Average</c:v>
                </c:pt>
              </c:strCache>
            </c:strRef>
          </c:cat>
          <c:val>
            <c:numRef>
              <c:f>Claims!$B$4:$B$20</c:f>
              <c:numCache>
                <c:formatCode>General</c:formatCode>
                <c:ptCount val="17"/>
                <c:pt idx="1">
                  <c:v>36</c:v>
                </c:pt>
                <c:pt idx="2">
                  <c:v>39</c:v>
                </c:pt>
                <c:pt idx="3">
                  <c:v>37</c:v>
                </c:pt>
                <c:pt idx="4">
                  <c:v>36</c:v>
                </c:pt>
                <c:pt idx="5">
                  <c:v>29</c:v>
                </c:pt>
                <c:pt idx="10">
                  <c:v>28</c:v>
                </c:pt>
                <c:pt idx="11">
                  <c:v>32</c:v>
                </c:pt>
                <c:pt idx="12">
                  <c:v>33</c:v>
                </c:pt>
                <c:pt idx="13">
                  <c:v>36</c:v>
                </c:pt>
                <c:pt idx="1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B-47A5-B781-4841000F227F}"/>
            </c:ext>
          </c:extLst>
        </c:ser>
        <c:ser>
          <c:idx val="1"/>
          <c:order val="1"/>
          <c:tx>
            <c:strRef>
              <c:f>Claims!$C$2:$C$3</c:f>
              <c:strCache>
                <c:ptCount val="2"/>
              </c:strCache>
            </c:strRef>
          </c:tx>
          <c:spPr>
            <a:solidFill>
              <a:schemeClr val="accent6"/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Claims!$A$4:$A$20</c:f>
              <c:strCache>
                <c:ptCount val="17"/>
                <c:pt idx="0">
                  <c:v>Notices of Intent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7">
                  <c:v>Five Year Average</c:v>
                </c:pt>
                <c:pt idx="9">
                  <c:v>Complaints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6">
                  <c:v>Five Year Average</c:v>
                </c:pt>
              </c:strCache>
            </c:strRef>
          </c:cat>
          <c:val>
            <c:numRef>
              <c:f>Claims!$C$4:$C$20</c:f>
              <c:numCache>
                <c:formatCode>General</c:formatCode>
                <c:ptCount val="17"/>
                <c:pt idx="7">
                  <c:v>33</c:v>
                </c:pt>
                <c:pt idx="1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B-47A5-B781-4841000F227F}"/>
            </c:ext>
          </c:extLst>
        </c:ser>
        <c:ser>
          <c:idx val="2"/>
          <c:order val="2"/>
          <c:tx>
            <c:strRef>
              <c:f>Claims!$D$2:$D$3</c:f>
              <c:strCache>
                <c:ptCount val="2"/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Claims!$A$4:$A$20</c:f>
              <c:strCache>
                <c:ptCount val="17"/>
                <c:pt idx="0">
                  <c:v>Notices of Intent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7">
                  <c:v>Five Year Average</c:v>
                </c:pt>
                <c:pt idx="9">
                  <c:v>Complaints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6">
                  <c:v>Five Year Average</c:v>
                </c:pt>
              </c:strCache>
            </c:strRef>
          </c:cat>
          <c:val>
            <c:numRef>
              <c:f>Claims!$D$4:$D$20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2-EC9B-47A5-B781-4841000F22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1231832"/>
        <c:axId val="630194616"/>
      </c:barChart>
      <c:catAx>
        <c:axId val="63123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94616"/>
        <c:crosses val="autoZero"/>
        <c:auto val="1"/>
        <c:lblAlgn val="ctr"/>
        <c:lblOffset val="100"/>
        <c:noMultiLvlLbl val="0"/>
      </c:catAx>
      <c:valAx>
        <c:axId val="630194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1231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         Claim</a:t>
            </a:r>
            <a:r>
              <a:rPr lang="en-US" b="1" baseline="0"/>
              <a:t> Closures</a:t>
            </a:r>
            <a:r>
              <a:rPr lang="en-US" baseline="0"/>
              <a:t>	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344369896752123E-2"/>
          <c:y val="0.16017055459690574"/>
          <c:w val="0.91871929363360583"/>
          <c:h val="0.49042681623895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Closures!$B$1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Closures!$A$2:$A$24</c:f>
              <c:strCache>
                <c:ptCount val="22"/>
                <c:pt idx="0">
                  <c:v>Dismissals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8">
                  <c:v>Judgment Wins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6">
                  <c:v>One Time Lump Sum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Closures!$B$2:$B$24</c:f>
              <c:numCache>
                <c:formatCode>General</c:formatCode>
                <c:ptCount val="23"/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5</c:v>
                </c:pt>
                <c:pt idx="5">
                  <c:v>10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6</c:v>
                </c:pt>
                <c:pt idx="13">
                  <c:v>3</c:v>
                </c:pt>
                <c:pt idx="17">
                  <c:v>9</c:v>
                </c:pt>
                <c:pt idx="18">
                  <c:v>8</c:v>
                </c:pt>
                <c:pt idx="19">
                  <c:v>5</c:v>
                </c:pt>
                <c:pt idx="20">
                  <c:v>4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9-404A-A075-3AF6F2C747DC}"/>
            </c:ext>
          </c:extLst>
        </c:ser>
        <c:ser>
          <c:idx val="1"/>
          <c:order val="1"/>
          <c:tx>
            <c:strRef>
              <c:f>Closures!$C$1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Closures!$A$2:$A$24</c:f>
              <c:strCache>
                <c:ptCount val="22"/>
                <c:pt idx="0">
                  <c:v>Dismissals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8">
                  <c:v>Judgment Wins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  <c:pt idx="16">
                  <c:v>One Time Lump Sum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strCache>
            </c:strRef>
          </c:cat>
          <c:val>
            <c:numRef>
              <c:f>Closures!$C$2:$C$24</c:f>
              <c:numCache>
                <c:formatCode>General</c:formatCode>
                <c:ptCount val="23"/>
              </c:numCache>
            </c:numRef>
          </c:val>
          <c:extLst>
            <c:ext xmlns:c16="http://schemas.microsoft.com/office/drawing/2014/chart" uri="{C3380CC4-5D6E-409C-BE32-E72D297353CC}">
              <c16:uniqueId val="{00000001-7299-404A-A075-3AF6F2C747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7082736"/>
        <c:axId val="677081424"/>
      </c:barChart>
      <c:catAx>
        <c:axId val="67708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7081424"/>
        <c:crosses val="autoZero"/>
        <c:auto val="1"/>
        <c:lblAlgn val="ctr"/>
        <c:lblOffset val="100"/>
        <c:noMultiLvlLbl val="0"/>
      </c:catAx>
      <c:valAx>
        <c:axId val="67708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708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               Beneficiaries</a:t>
            </a:r>
            <a:r>
              <a:rPr lang="en-US" b="1" baseline="0"/>
              <a:t> Added	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12642169728784E-2"/>
          <c:y val="0.17171296296296296"/>
          <c:w val="0.82765441819772523"/>
          <c:h val="0.41360637212015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4"/>
                <c:pt idx="0">
                  <c:v>Stipulations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8">
                  <c:v>Judgment Losses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9-4FBF-A6C5-2A331EA441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4"/>
                <c:pt idx="0">
                  <c:v>Stipulations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8">
                  <c:v>Judgment Losses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</c:numCache>
            </c:numRef>
          </c:val>
          <c:extLst>
            <c:ext xmlns:c16="http://schemas.microsoft.com/office/drawing/2014/chart" uri="{C3380CC4-5D6E-409C-BE32-E72D297353CC}">
              <c16:uniqueId val="{00000001-BED9-4FBF-A6C5-2A331EA441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7082736"/>
        <c:axId val="677081424"/>
      </c:barChart>
      <c:catAx>
        <c:axId val="67708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7081424"/>
        <c:crosses val="autoZero"/>
        <c:auto val="1"/>
        <c:lblAlgn val="ctr"/>
        <c:lblOffset val="100"/>
        <c:noMultiLvlLbl val="0"/>
      </c:catAx>
      <c:valAx>
        <c:axId val="67708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708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400" b="1" baseline="0">
                <a:solidFill>
                  <a:sysClr val="windowText" lastClr="000000"/>
                </a:solidFill>
              </a:rPr>
              <a:t>Claimant Payments</a:t>
            </a:r>
          </a:p>
          <a:p>
            <a:pPr algn="ctr">
              <a:defRPr/>
            </a:pPr>
            <a:r>
              <a:rPr lang="en-US" sz="1600" b="1" baseline="0">
                <a:solidFill>
                  <a:sysClr val="windowText" lastClr="000000"/>
                </a:solidFill>
              </a:rPr>
              <a:t>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4444444444444446E-2"/>
          <c:y val="0.18866666666666668"/>
          <c:w val="0.95111111111111113"/>
          <c:h val="0.700865391826021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Combined!$A$2:$A$6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Combined!$B$2:$B$6</c:f>
              <c:numCache>
                <c:formatCode>"$"#,##0</c:formatCode>
                <c:ptCount val="5"/>
                <c:pt idx="0">
                  <c:v>3770568</c:v>
                </c:pt>
                <c:pt idx="1">
                  <c:v>3838825</c:v>
                </c:pt>
                <c:pt idx="2">
                  <c:v>3959475</c:v>
                </c:pt>
                <c:pt idx="3">
                  <c:v>4034373</c:v>
                </c:pt>
                <c:pt idx="4">
                  <c:v>4098606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0C-449C-AB5D-14C96C967EE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41968736"/>
        <c:axId val="347834736"/>
      </c:barChart>
      <c:catAx>
        <c:axId val="4419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7834736"/>
        <c:crosses val="autoZero"/>
        <c:auto val="1"/>
        <c:lblAlgn val="ctr"/>
        <c:lblOffset val="100"/>
        <c:noMultiLvlLbl val="0"/>
      </c:catAx>
      <c:valAx>
        <c:axId val="347834736"/>
        <c:scaling>
          <c:orientation val="minMax"/>
        </c:scaling>
        <c:delete val="1"/>
        <c:axPos val="l"/>
        <c:numFmt formatCode="&quot;$&quot;#,##0" sourceLinked="1"/>
        <c:majorTickMark val="none"/>
        <c:minorTickMark val="none"/>
        <c:tickLblPos val="nextTo"/>
        <c:crossAx val="44196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Annual</a:t>
            </a:r>
            <a:r>
              <a:rPr lang="en-US" sz="1200" b="1" baseline="0">
                <a:solidFill>
                  <a:sysClr val="windowText" lastClr="000000"/>
                </a:solidFill>
              </a:rPr>
              <a:t> Assessment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Assessment!$A$2:$A$6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Assessment!$B$2:$B$6</c:f>
              <c:numCache>
                <c:formatCode>"$"#,##0</c:formatCode>
                <c:ptCount val="5"/>
                <c:pt idx="0">
                  <c:v>3707562</c:v>
                </c:pt>
                <c:pt idx="1">
                  <c:v>2970515</c:v>
                </c:pt>
                <c:pt idx="2">
                  <c:v>3426218</c:v>
                </c:pt>
                <c:pt idx="3">
                  <c:v>4354478</c:v>
                </c:pt>
                <c:pt idx="4">
                  <c:v>4298314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7-4F55-9CCA-DE4BAD0D1D5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82826560"/>
        <c:axId val="582823280"/>
      </c:barChart>
      <c:catAx>
        <c:axId val="58282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823280"/>
        <c:crosses val="autoZero"/>
        <c:auto val="1"/>
        <c:lblAlgn val="ctr"/>
        <c:lblOffset val="100"/>
        <c:noMultiLvlLbl val="0"/>
      </c:catAx>
      <c:valAx>
        <c:axId val="582823280"/>
        <c:scaling>
          <c:orientation val="minMax"/>
        </c:scaling>
        <c:delete val="1"/>
        <c:axPos val="l"/>
        <c:numFmt formatCode="&quot;$&quot;#,##0" sourceLinked="1"/>
        <c:majorTickMark val="none"/>
        <c:minorTickMark val="none"/>
        <c:tickLblPos val="nextTo"/>
        <c:crossAx val="58282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264-9692-4002-A53C-A63FF4D3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Pike</dc:creator>
  <cp:lastModifiedBy>Kimberly A. Murphy</cp:lastModifiedBy>
  <cp:revision>225</cp:revision>
  <cp:lastPrinted>2021-07-28T14:13:00Z</cp:lastPrinted>
  <dcterms:created xsi:type="dcterms:W3CDTF">2021-05-25T21:34:00Z</dcterms:created>
  <dcterms:modified xsi:type="dcterms:W3CDTF">2021-07-28T14:29:00Z</dcterms:modified>
</cp:coreProperties>
</file>